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DE390" w14:textId="77777777" w:rsidR="003532D3" w:rsidRPr="00213C50" w:rsidRDefault="003532D3" w:rsidP="003532D3">
      <w:pPr>
        <w:pStyle w:val="TOC1"/>
      </w:pPr>
      <w:bookmarkStart w:id="0" w:name="_Toc356816465"/>
      <w:bookmarkStart w:id="1" w:name="_Toc356816492"/>
      <w:bookmarkStart w:id="2" w:name="_Toc356816512"/>
    </w:p>
    <w:p w14:paraId="650FE872" w14:textId="77777777" w:rsidR="003532D3" w:rsidRDefault="003532D3" w:rsidP="003532D3"/>
    <w:p w14:paraId="2E555527" w14:textId="77777777" w:rsidR="003532D3" w:rsidRDefault="003532D3" w:rsidP="003532D3"/>
    <w:bookmarkStart w:id="3" w:name="_Toc373994747"/>
    <w:bookmarkStart w:id="4" w:name="_Toc373995547"/>
    <w:p w14:paraId="1AB076B0" w14:textId="77777777" w:rsidR="003532D3" w:rsidRPr="008E0402" w:rsidRDefault="0097469B" w:rsidP="000C1AD3">
      <w:r>
        <w:rPr>
          <w:noProof/>
        </w:rPr>
        <mc:AlternateContent>
          <mc:Choice Requires="wps">
            <w:drawing>
              <wp:anchor distT="0" distB="0" distL="114300" distR="114300" simplePos="0" relativeHeight="251659264" behindDoc="0" locked="0" layoutInCell="1" allowOverlap="1" wp14:anchorId="7990BB82" wp14:editId="40766D9D">
                <wp:simplePos x="0" y="0"/>
                <wp:positionH relativeFrom="column">
                  <wp:posOffset>2635885</wp:posOffset>
                </wp:positionH>
                <wp:positionV relativeFrom="paragraph">
                  <wp:posOffset>5394325</wp:posOffset>
                </wp:positionV>
                <wp:extent cx="3843020" cy="1572895"/>
                <wp:effectExtent l="0" t="4445"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157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0D428" w14:textId="77777777" w:rsidR="005F4771" w:rsidRPr="00787896" w:rsidRDefault="0097469B" w:rsidP="003532D3">
                            <w:pPr>
                              <w:spacing w:before="120" w:after="120"/>
                              <w:jc w:val="right"/>
                              <w:rPr>
                                <w:b/>
                                <w:sz w:val="40"/>
                                <w:szCs w:val="40"/>
                              </w:rPr>
                            </w:pPr>
                            <w:r w:rsidRPr="00933E51">
                              <w:rPr>
                                <w:sz w:val="40"/>
                                <w:szCs w:val="40"/>
                              </w:rPr>
                              <w:t>Presented by</w:t>
                            </w:r>
                            <w:r>
                              <w:rPr>
                                <w:b/>
                                <w:sz w:val="40"/>
                                <w:szCs w:val="40"/>
                              </w:rPr>
                              <w:t xml:space="preserve"> </w:t>
                            </w:r>
                            <w:r w:rsidRPr="00787896">
                              <w:rPr>
                                <w:b/>
                                <w:sz w:val="40"/>
                                <w:szCs w:val="40"/>
                              </w:rPr>
                              <w:t>InterWest Insurance Services, LLC</w:t>
                            </w:r>
                          </w:p>
                          <w:p w14:paraId="7E57C9B6" w14:textId="77777777" w:rsidR="005F4771" w:rsidRPr="00365A70" w:rsidRDefault="005F4771">
                            <w:pPr>
                              <w:rPr>
                                <w:rFonts w:ascii="Stag Sans Medium" w:hAnsi="Stag Sans Medium"/>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width:302.6pt;height:123.85pt;margin-top:424.75pt;margin-left:207.55pt;mso-height-percent:200;mso-height-relative:margin;mso-width-percent:0;mso-width-relative:margin;mso-wrap-distance-bottom:0;mso-wrap-distance-left:9pt;mso-wrap-distance-right:9pt;mso-wrap-distance-top:0;position:absolute;v-text-anchor:top;z-index:251658240" filled="f" fillcolor="this" stroked="f">
                <v:textbox style="mso-fit-shape-to-text:t">
                  <w:txbxContent>
                    <w:p w:rsidR="005F4771" w:rsidRPr="00787896" w:rsidP="003532D3" w14:paraId="2AB5B5F9" w14:textId="77777777">
                      <w:pPr>
                        <w:spacing w:before="120" w:after="120"/>
                        <w:jc w:val="right"/>
                        <w:rPr>
                          <w:b/>
                          <w:sz w:val="40"/>
                          <w:szCs w:val="40"/>
                        </w:rPr>
                      </w:pPr>
                      <w:r w:rsidRPr="00933E51">
                        <w:rPr>
                          <w:sz w:val="40"/>
                          <w:szCs w:val="40"/>
                        </w:rPr>
                        <w:t>Presented by</w:t>
                      </w:r>
                      <w:r>
                        <w:rPr>
                          <w:b/>
                          <w:sz w:val="40"/>
                          <w:szCs w:val="40"/>
                        </w:rPr>
                        <w:t xml:space="preserve"> </w:t>
                      </w:r>
                      <w:r w:rsidRPr="00787896">
                        <w:rPr>
                          <w:b/>
                          <w:sz w:val="40"/>
                          <w:szCs w:val="40"/>
                        </w:rPr>
                        <w:t>InterWest Insurance Services, LLC</w:t>
                      </w:r>
                    </w:p>
                    <w:p w:rsidR="005F4771" w:rsidRPr="00365A70" w14:paraId="1812CDC7" w14:textId="77777777">
                      <w:pPr>
                        <w:rPr>
                          <w:rFonts w:ascii="Stag Sans Medium" w:hAnsi="Stag Sans Medium"/>
                        </w:rPr>
                      </w:pPr>
                    </w:p>
                  </w:txbxContent>
                </v:textbox>
              </v:shape>
            </w:pict>
          </mc:Fallback>
        </mc:AlternateContent>
      </w:r>
      <w:r w:rsidR="003532D3">
        <w:br w:type="page"/>
      </w:r>
      <w:r w:rsidR="003532D3" w:rsidRPr="000C1AD3">
        <w:rPr>
          <w:sz w:val="28"/>
          <w:szCs w:val="28"/>
        </w:rPr>
        <w:lastRenderedPageBreak/>
        <w:softHyphen/>
      </w:r>
      <w:r w:rsidR="003532D3" w:rsidRPr="000C1AD3">
        <w:rPr>
          <w:sz w:val="28"/>
          <w:szCs w:val="28"/>
        </w:rPr>
        <w:softHyphen/>
      </w:r>
      <w:r w:rsidR="003532D3" w:rsidRPr="000C1AD3">
        <w:rPr>
          <w:b/>
          <w:bCs/>
          <w:sz w:val="40"/>
          <w:szCs w:val="40"/>
        </w:rPr>
        <w:t>TABLE OF CONTENTS</w:t>
      </w:r>
      <w:bookmarkEnd w:id="3"/>
      <w:bookmarkEnd w:id="4"/>
    </w:p>
    <w:p w14:paraId="7EC5F648" w14:textId="77777777" w:rsidR="003532D3" w:rsidRDefault="0097469B" w:rsidP="003532D3">
      <w:r>
        <w:rPr>
          <w:noProof/>
        </w:rPr>
        <mc:AlternateContent>
          <mc:Choice Requires="wps">
            <w:drawing>
              <wp:anchor distT="0" distB="0" distL="114300" distR="114300" simplePos="0" relativeHeight="251672576" behindDoc="0" locked="0" layoutInCell="1" allowOverlap="1" wp14:anchorId="1A57FA2D" wp14:editId="3C255788">
                <wp:simplePos x="0" y="0"/>
                <wp:positionH relativeFrom="column">
                  <wp:posOffset>-3810</wp:posOffset>
                </wp:positionH>
                <wp:positionV relativeFrom="paragraph">
                  <wp:posOffset>-96520</wp:posOffset>
                </wp:positionV>
                <wp:extent cx="1546860" cy="46355"/>
                <wp:effectExtent l="0" t="3175" r="0" b="0"/>
                <wp:wrapNone/>
                <wp:docPr id="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46355"/>
                        </a:xfrm>
                        <a:prstGeom prst="rect">
                          <a:avLst/>
                        </a:prstGeom>
                        <a:solidFill>
                          <a:srgbClr val="548DD4"/>
                        </a:solidFill>
                        <a:ln>
                          <a:noFill/>
                        </a:ln>
                        <a:extLst>
                          <a:ext uri="{91240B29-F687-4F45-9708-019B960494DF}">
                            <a14:hiddenLine xmlns:a14="http://schemas.microsoft.com/office/drawing/2010/main" w="9525">
                              <a:solidFill>
                                <a:srgbClr val="548DD4"/>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 o:spid="_x0000_s1027" style="width:121.8pt;height:3.65pt;margin-top:-7.6pt;margin-left:-0.3pt;mso-height-percent:0;mso-height-relative:page;mso-width-percent:0;mso-width-relative:page;mso-wrap-distance-bottom:0;mso-wrap-distance-left:9pt;mso-wrap-distance-right:9pt;mso-wrap-distance-top:0;mso-wrap-style:square;position:absolute;v-text-anchor:top;visibility:visible;z-index:251673600" fillcolor="#548dd4" stroked="f" strokecolor="#548dd4"/>
            </w:pict>
          </mc:Fallback>
        </mc:AlternateContent>
      </w:r>
      <w:r>
        <w:rPr>
          <w:noProof/>
        </w:rPr>
        <mc:AlternateContent>
          <mc:Choice Requires="wps">
            <w:drawing>
              <wp:anchor distT="0" distB="0" distL="114300" distR="114300" simplePos="0" relativeHeight="251662336" behindDoc="0" locked="0" layoutInCell="1" allowOverlap="1" wp14:anchorId="7F9BC54F" wp14:editId="15ED5DCA">
                <wp:simplePos x="0" y="0"/>
                <wp:positionH relativeFrom="column">
                  <wp:posOffset>3810</wp:posOffset>
                </wp:positionH>
                <wp:positionV relativeFrom="paragraph">
                  <wp:posOffset>-96520</wp:posOffset>
                </wp:positionV>
                <wp:extent cx="5943600" cy="0"/>
                <wp:effectExtent l="13335" t="12700" r="5715" b="6350"/>
                <wp:wrapNone/>
                <wp:docPr id="4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8" type="#_x0000_t32" style="width:468pt;height:0;margin-top:-7.6pt;margin-left:0.3pt;mso-height-percent:0;mso-height-relative:page;mso-width-percent:0;mso-width-relative:page;mso-wrap-distance-bottom:0;mso-wrap-distance-left:9pt;mso-wrap-distance-right:9pt;mso-wrap-distance-top:0;mso-wrap-style:square;position:absolute;visibility:visible;z-index:251663360" strokecolor="#548dd4"/>
            </w:pict>
          </mc:Fallback>
        </mc:AlternateContent>
      </w:r>
      <w:r>
        <w:softHyphen/>
      </w:r>
      <w:r>
        <w:softHyphen/>
      </w:r>
      <w:bookmarkEnd w:id="0"/>
      <w:bookmarkEnd w:id="1"/>
      <w:bookmarkEnd w:id="2"/>
    </w:p>
    <w:p w14:paraId="0B8618C7" w14:textId="77777777" w:rsidR="003A674C" w:rsidRDefault="0097469B">
      <w:pPr>
        <w:pStyle w:val="TOC1"/>
        <w:rPr>
          <w:rFonts w:asciiTheme="minorHAnsi" w:hAnsiTheme="minorHAnsi"/>
          <w:noProof/>
        </w:rPr>
      </w:pPr>
      <w:r w:rsidRPr="0070722E">
        <w:rPr>
          <w:sz w:val="24"/>
          <w:szCs w:val="24"/>
        </w:rPr>
        <w:fldChar w:fldCharType="begin"/>
      </w:r>
      <w:r w:rsidRPr="0070722E">
        <w:rPr>
          <w:sz w:val="24"/>
          <w:szCs w:val="24"/>
        </w:rPr>
        <w:instrText xml:space="preserve"> TOC \o "1-3" \h \z \u </w:instrText>
      </w:r>
      <w:r w:rsidRPr="0070722E">
        <w:rPr>
          <w:sz w:val="24"/>
          <w:szCs w:val="24"/>
        </w:rPr>
        <w:fldChar w:fldCharType="separate"/>
      </w:r>
      <w:hyperlink w:anchor="_Toc256000001" w:history="1">
        <w:r w:rsidRPr="0025087E">
          <w:rPr>
            <w:rStyle w:val="Hyperlink"/>
          </w:rPr>
          <w:t>INTRODUCTION</w:t>
        </w:r>
        <w:r>
          <w:tab/>
        </w:r>
        <w:r>
          <w:fldChar w:fldCharType="begin"/>
        </w:r>
        <w:r>
          <w:instrText xml:space="preserve"> PAGEREF _Toc256000001 \h </w:instrText>
        </w:r>
        <w:r>
          <w:fldChar w:fldCharType="separate"/>
        </w:r>
        <w:r>
          <w:t>2</w:t>
        </w:r>
        <w:r>
          <w:fldChar w:fldCharType="end"/>
        </w:r>
      </w:hyperlink>
    </w:p>
    <w:p w14:paraId="32713E12" w14:textId="77777777" w:rsidR="003A674C" w:rsidRDefault="0097469B">
      <w:pPr>
        <w:pStyle w:val="TOC1"/>
        <w:rPr>
          <w:rFonts w:asciiTheme="minorHAnsi" w:hAnsiTheme="minorHAnsi"/>
          <w:noProof/>
        </w:rPr>
      </w:pPr>
      <w:hyperlink w:anchor="_Toc256000002" w:history="1">
        <w:r>
          <w:rPr>
            <w:rStyle w:val="Hyperlink"/>
          </w:rPr>
          <w:t>PREPARING FOR (AND AVOIDING) A DOL AUDIT</w:t>
        </w:r>
        <w:r>
          <w:tab/>
        </w:r>
        <w:r>
          <w:fldChar w:fldCharType="begin"/>
        </w:r>
        <w:r>
          <w:instrText xml:space="preserve"> PAGEREF _Toc256000002 \h </w:instrText>
        </w:r>
        <w:r>
          <w:fldChar w:fldCharType="separate"/>
        </w:r>
        <w:r>
          <w:t>3</w:t>
        </w:r>
        <w:r>
          <w:fldChar w:fldCharType="end"/>
        </w:r>
      </w:hyperlink>
    </w:p>
    <w:p w14:paraId="3D66FFB9" w14:textId="77777777" w:rsidR="003A674C" w:rsidRDefault="0097469B">
      <w:pPr>
        <w:pStyle w:val="TOC2"/>
        <w:tabs>
          <w:tab w:val="right" w:leader="dot" w:pos="9350"/>
        </w:tabs>
        <w:rPr>
          <w:rFonts w:asciiTheme="minorHAnsi" w:hAnsiTheme="minorHAnsi"/>
          <w:noProof/>
        </w:rPr>
      </w:pPr>
      <w:hyperlink w:anchor="_Toc256000003" w:history="1">
        <w:r w:rsidRPr="00984C93">
          <w:rPr>
            <w:rStyle w:val="Hyperlink"/>
          </w:rPr>
          <w:t>AUDIT TRIGGERS</w:t>
        </w:r>
        <w:r>
          <w:tab/>
        </w:r>
        <w:r>
          <w:fldChar w:fldCharType="begin"/>
        </w:r>
        <w:r>
          <w:instrText xml:space="preserve"> PAGEREF _Toc256000003 \h </w:instrText>
        </w:r>
        <w:r>
          <w:fldChar w:fldCharType="separate"/>
        </w:r>
        <w:r>
          <w:t>3</w:t>
        </w:r>
        <w:r>
          <w:fldChar w:fldCharType="end"/>
        </w:r>
      </w:hyperlink>
    </w:p>
    <w:p w14:paraId="336D251D" w14:textId="77777777" w:rsidR="003A674C" w:rsidRDefault="0097469B">
      <w:pPr>
        <w:pStyle w:val="TOC2"/>
        <w:tabs>
          <w:tab w:val="right" w:leader="dot" w:pos="9350"/>
        </w:tabs>
        <w:rPr>
          <w:rFonts w:asciiTheme="minorHAnsi" w:hAnsiTheme="minorHAnsi"/>
          <w:noProof/>
        </w:rPr>
      </w:pPr>
      <w:hyperlink w:anchor="_Toc256000004" w:history="1">
        <w:r w:rsidRPr="00984C93">
          <w:rPr>
            <w:rStyle w:val="Hyperlink"/>
          </w:rPr>
          <w:t>MINIMIZING THE RISK</w:t>
        </w:r>
        <w:r>
          <w:tab/>
        </w:r>
        <w:r>
          <w:fldChar w:fldCharType="begin"/>
        </w:r>
        <w:r>
          <w:instrText xml:space="preserve"> PAGEREF _Toc256000004 \h </w:instrText>
        </w:r>
        <w:r>
          <w:fldChar w:fldCharType="separate"/>
        </w:r>
        <w:r>
          <w:t>4</w:t>
        </w:r>
        <w:r>
          <w:fldChar w:fldCharType="end"/>
        </w:r>
      </w:hyperlink>
    </w:p>
    <w:p w14:paraId="7D359941" w14:textId="77777777" w:rsidR="003A674C" w:rsidRDefault="0097469B">
      <w:pPr>
        <w:pStyle w:val="TOC2"/>
        <w:tabs>
          <w:tab w:val="right" w:leader="dot" w:pos="9350"/>
        </w:tabs>
        <w:rPr>
          <w:rFonts w:asciiTheme="minorHAnsi" w:hAnsiTheme="minorHAnsi"/>
          <w:noProof/>
        </w:rPr>
      </w:pPr>
      <w:hyperlink w:anchor="_Toc256000005" w:history="1">
        <w:r w:rsidRPr="00984C93">
          <w:rPr>
            <w:rStyle w:val="Hyperlink"/>
          </w:rPr>
          <w:t>COMPLIANCE REVIEW</w:t>
        </w:r>
        <w:r>
          <w:tab/>
        </w:r>
        <w:r>
          <w:fldChar w:fldCharType="begin"/>
        </w:r>
        <w:r>
          <w:instrText xml:space="preserve"> PAGEREF _Toc256000005 \h </w:instrText>
        </w:r>
        <w:r>
          <w:fldChar w:fldCharType="separate"/>
        </w:r>
        <w:r>
          <w:t>4</w:t>
        </w:r>
        <w:r>
          <w:fldChar w:fldCharType="end"/>
        </w:r>
      </w:hyperlink>
    </w:p>
    <w:p w14:paraId="0C455D02" w14:textId="77777777" w:rsidR="003A674C" w:rsidRDefault="0097469B">
      <w:pPr>
        <w:pStyle w:val="TOC1"/>
        <w:rPr>
          <w:rFonts w:asciiTheme="minorHAnsi" w:hAnsiTheme="minorHAnsi"/>
          <w:noProof/>
        </w:rPr>
      </w:pPr>
      <w:hyperlink w:anchor="_Toc256000006" w:history="1">
        <w:r w:rsidRPr="00FC268B">
          <w:rPr>
            <w:rStyle w:val="Hyperlink"/>
          </w:rPr>
          <w:t>NAVIGATING A DOL AUDIT</w:t>
        </w:r>
        <w:r>
          <w:tab/>
        </w:r>
        <w:r>
          <w:fldChar w:fldCharType="begin"/>
        </w:r>
        <w:r>
          <w:instrText xml:space="preserve"> PAGEREF _Toc256000006 \h </w:instrText>
        </w:r>
        <w:r>
          <w:fldChar w:fldCharType="separate"/>
        </w:r>
        <w:r>
          <w:t>6</w:t>
        </w:r>
        <w:r>
          <w:fldChar w:fldCharType="end"/>
        </w:r>
      </w:hyperlink>
    </w:p>
    <w:p w14:paraId="5C0DDC15" w14:textId="77777777" w:rsidR="003A674C" w:rsidRDefault="0097469B">
      <w:pPr>
        <w:pStyle w:val="TOC1"/>
        <w:rPr>
          <w:rFonts w:asciiTheme="minorHAnsi" w:hAnsiTheme="minorHAnsi"/>
          <w:noProof/>
        </w:rPr>
      </w:pPr>
      <w:hyperlink w:anchor="_Toc256000007" w:history="1">
        <w:r w:rsidRPr="00FC268B">
          <w:rPr>
            <w:rStyle w:val="Hyperlink"/>
          </w:rPr>
          <w:t>CHECKLIST OF REQUESTED DOCUMENTS</w:t>
        </w:r>
        <w:r>
          <w:tab/>
        </w:r>
        <w:r>
          <w:fldChar w:fldCharType="begin"/>
        </w:r>
        <w:r>
          <w:instrText xml:space="preserve"> PAGEREF _Toc256000007 \h </w:instrText>
        </w:r>
        <w:r>
          <w:fldChar w:fldCharType="separate"/>
        </w:r>
        <w:r>
          <w:t>8</w:t>
        </w:r>
        <w:r>
          <w:fldChar w:fldCharType="end"/>
        </w:r>
      </w:hyperlink>
    </w:p>
    <w:p w14:paraId="1AC100FA" w14:textId="77777777" w:rsidR="003A674C" w:rsidRDefault="0097469B">
      <w:pPr>
        <w:pStyle w:val="TOC1"/>
        <w:rPr>
          <w:rFonts w:asciiTheme="minorHAnsi" w:hAnsiTheme="minorHAnsi"/>
          <w:noProof/>
        </w:rPr>
      </w:pPr>
      <w:hyperlink w:anchor="_Toc256000008" w:history="1">
        <w:r>
          <w:rPr>
            <w:rStyle w:val="Hyperlink"/>
          </w:rPr>
          <w:t>AVAILABLE RESOURCES</w:t>
        </w:r>
        <w:r>
          <w:tab/>
        </w:r>
        <w:r>
          <w:fldChar w:fldCharType="begin"/>
        </w:r>
        <w:r>
          <w:instrText xml:space="preserve"> PAGEREF _Toc256000008 \h </w:instrText>
        </w:r>
        <w:r>
          <w:fldChar w:fldCharType="separate"/>
        </w:r>
        <w:r>
          <w:t>11</w:t>
        </w:r>
        <w:r>
          <w:fldChar w:fldCharType="end"/>
        </w:r>
      </w:hyperlink>
    </w:p>
    <w:p w14:paraId="794F2725" w14:textId="77777777" w:rsidR="003A674C" w:rsidRDefault="0097469B">
      <w:pPr>
        <w:pStyle w:val="TOC1"/>
        <w:rPr>
          <w:rFonts w:asciiTheme="minorHAnsi" w:hAnsiTheme="minorHAnsi"/>
          <w:noProof/>
        </w:rPr>
      </w:pPr>
      <w:hyperlink w:anchor="_Toc256000009" w:history="1">
        <w:r w:rsidR="000C1AD3">
          <w:rPr>
            <w:rStyle w:val="Hyperlink"/>
          </w:rPr>
          <w:t>SAMPLE DOCUMENTS</w:t>
        </w:r>
        <w:r>
          <w:tab/>
        </w:r>
        <w:r>
          <w:fldChar w:fldCharType="begin"/>
        </w:r>
        <w:r>
          <w:instrText xml:space="preserve"> PAGEREF _Toc256000009 \h </w:instrText>
        </w:r>
        <w:r>
          <w:fldChar w:fldCharType="separate"/>
        </w:r>
        <w:r>
          <w:t>12</w:t>
        </w:r>
        <w:r>
          <w:fldChar w:fldCharType="end"/>
        </w:r>
      </w:hyperlink>
    </w:p>
    <w:p w14:paraId="6C9DBCB6" w14:textId="77777777" w:rsidR="003532D3" w:rsidRDefault="0097469B" w:rsidP="003532D3">
      <w:pPr>
        <w:rPr>
          <w:b/>
          <w:bCs/>
          <w:noProof/>
          <w:sz w:val="24"/>
          <w:szCs w:val="24"/>
        </w:rPr>
      </w:pPr>
      <w:r w:rsidRPr="0070722E">
        <w:rPr>
          <w:b/>
          <w:bCs/>
          <w:noProof/>
          <w:sz w:val="24"/>
          <w:szCs w:val="24"/>
        </w:rPr>
        <w:fldChar w:fldCharType="end"/>
      </w:r>
    </w:p>
    <w:p w14:paraId="7A5D7F22" w14:textId="77777777" w:rsidR="003532D3" w:rsidRDefault="003532D3" w:rsidP="003532D3">
      <w:pPr>
        <w:rPr>
          <w:b/>
          <w:bCs/>
          <w:noProof/>
          <w:sz w:val="24"/>
          <w:szCs w:val="24"/>
        </w:rPr>
      </w:pPr>
    </w:p>
    <w:p w14:paraId="6FE346A4" w14:textId="77777777" w:rsidR="003532D3" w:rsidRDefault="003532D3" w:rsidP="003532D3">
      <w:pPr>
        <w:rPr>
          <w:b/>
          <w:bCs/>
          <w:noProof/>
          <w:sz w:val="24"/>
          <w:szCs w:val="24"/>
        </w:rPr>
      </w:pPr>
    </w:p>
    <w:p w14:paraId="7D19F530" w14:textId="77777777" w:rsidR="003532D3" w:rsidRDefault="003532D3" w:rsidP="003532D3">
      <w:pPr>
        <w:rPr>
          <w:b/>
          <w:bCs/>
          <w:noProof/>
          <w:sz w:val="24"/>
          <w:szCs w:val="24"/>
        </w:rPr>
      </w:pPr>
    </w:p>
    <w:p w14:paraId="67E03D21" w14:textId="77777777" w:rsidR="003532D3" w:rsidRDefault="003532D3" w:rsidP="003532D3">
      <w:pPr>
        <w:rPr>
          <w:b/>
          <w:bCs/>
          <w:noProof/>
          <w:sz w:val="24"/>
          <w:szCs w:val="24"/>
        </w:rPr>
      </w:pPr>
    </w:p>
    <w:p w14:paraId="2095FD39" w14:textId="77777777" w:rsidR="003532D3" w:rsidRDefault="003532D3" w:rsidP="003532D3">
      <w:pPr>
        <w:rPr>
          <w:b/>
          <w:bCs/>
          <w:noProof/>
          <w:sz w:val="24"/>
          <w:szCs w:val="24"/>
        </w:rPr>
      </w:pPr>
    </w:p>
    <w:p w14:paraId="35202C34" w14:textId="77777777" w:rsidR="003532D3" w:rsidRDefault="003532D3" w:rsidP="003532D3">
      <w:pPr>
        <w:rPr>
          <w:b/>
          <w:bCs/>
          <w:noProof/>
          <w:sz w:val="24"/>
          <w:szCs w:val="24"/>
        </w:rPr>
      </w:pPr>
    </w:p>
    <w:p w14:paraId="2E4C9F15" w14:textId="77777777" w:rsidR="003532D3" w:rsidRPr="00600F4F" w:rsidRDefault="0097469B" w:rsidP="003532D3">
      <w:pPr>
        <w:spacing w:after="0" w:line="240" w:lineRule="auto"/>
        <w:rPr>
          <w:b/>
          <w:sz w:val="20"/>
          <w:szCs w:val="20"/>
        </w:rPr>
      </w:pPr>
      <w:r w:rsidRPr="00600F4F">
        <w:rPr>
          <w:sz w:val="20"/>
          <w:szCs w:val="20"/>
        </w:rPr>
        <w:t xml:space="preserve">This guide is not intended to be exhaustive nor should any discussion or opinions be construed as legal advice. </w:t>
      </w:r>
      <w:r>
        <w:rPr>
          <w:sz w:val="20"/>
          <w:szCs w:val="20"/>
        </w:rPr>
        <w:t>This guide</w:t>
      </w:r>
      <w:r w:rsidRPr="00600F4F">
        <w:rPr>
          <w:sz w:val="20"/>
          <w:szCs w:val="20"/>
        </w:rPr>
        <w:t xml:space="preserve"> may not address all compliance issues with federal, state and local laws</w:t>
      </w:r>
      <w:r>
        <w:rPr>
          <w:sz w:val="20"/>
          <w:szCs w:val="20"/>
        </w:rPr>
        <w:t xml:space="preserve"> or identify all possible requests that may be made in connection with an audit</w:t>
      </w:r>
      <w:r w:rsidRPr="00600F4F">
        <w:rPr>
          <w:sz w:val="20"/>
          <w:szCs w:val="20"/>
        </w:rPr>
        <w:t xml:space="preserve">. Compliance with all applicable legal requirements is the responsibility of the health </w:t>
      </w:r>
      <w:r w:rsidRPr="00AD35CB">
        <w:rPr>
          <w:sz w:val="20"/>
          <w:szCs w:val="20"/>
        </w:rPr>
        <w:t xml:space="preserve">plan sponsor. Using the materials in this guide does not guarantee that a plan sponsor will be able to avoid an audit or is in compliance with all applicable requirements. Use this guide as </w:t>
      </w:r>
      <w:r w:rsidR="00575A23" w:rsidRPr="00AD35CB">
        <w:rPr>
          <w:sz w:val="20"/>
          <w:szCs w:val="20"/>
        </w:rPr>
        <w:t>reference but</w:t>
      </w:r>
      <w:r w:rsidRPr="00AD35CB">
        <w:rPr>
          <w:sz w:val="20"/>
          <w:szCs w:val="20"/>
        </w:rPr>
        <w:t xml:space="preserve"> contact legal counsel to d</w:t>
      </w:r>
      <w:r w:rsidR="00355FCE" w:rsidRPr="00AD35CB">
        <w:rPr>
          <w:sz w:val="20"/>
          <w:szCs w:val="20"/>
        </w:rPr>
        <w:t>iscuss compliance requirements.</w:t>
      </w:r>
      <w:r w:rsidR="00355FCE">
        <w:rPr>
          <w:sz w:val="20"/>
          <w:szCs w:val="20"/>
        </w:rPr>
        <w:t xml:space="preserve"> </w:t>
      </w:r>
    </w:p>
    <w:p w14:paraId="4C7FBA73" w14:textId="77777777" w:rsidR="003532D3" w:rsidRDefault="003532D3" w:rsidP="003532D3">
      <w:pPr>
        <w:pStyle w:val="Heading1"/>
        <w:spacing w:before="0" w:after="0" w:line="240" w:lineRule="auto"/>
        <w:rPr>
          <w:b w:val="0"/>
          <w:sz w:val="20"/>
          <w:szCs w:val="20"/>
        </w:rPr>
      </w:pPr>
    </w:p>
    <w:p w14:paraId="5B20B51A" w14:textId="77777777" w:rsidR="003532D3" w:rsidRDefault="0097469B" w:rsidP="000C1AD3">
      <w:pPr>
        <w:rPr>
          <w:b/>
        </w:rPr>
      </w:pPr>
      <w:r w:rsidRPr="000C1AD3">
        <w:rPr>
          <w:sz w:val="20"/>
          <w:szCs w:val="20"/>
        </w:rPr>
        <w:t>© 2013-201</w:t>
      </w:r>
      <w:r w:rsidR="00C94D1B" w:rsidRPr="000C1AD3">
        <w:rPr>
          <w:sz w:val="20"/>
          <w:szCs w:val="20"/>
        </w:rPr>
        <w:t>9</w:t>
      </w:r>
      <w:r w:rsidR="00A66BAA" w:rsidRPr="000C1AD3">
        <w:rPr>
          <w:sz w:val="20"/>
          <w:szCs w:val="20"/>
        </w:rPr>
        <w:t>, 2021</w:t>
      </w:r>
      <w:r w:rsidR="004F5E0E" w:rsidRPr="000C1AD3">
        <w:rPr>
          <w:sz w:val="20"/>
          <w:szCs w:val="20"/>
        </w:rPr>
        <w:t>-202</w:t>
      </w:r>
      <w:r w:rsidR="00575A23">
        <w:rPr>
          <w:sz w:val="20"/>
          <w:szCs w:val="20"/>
        </w:rPr>
        <w:t>4</w:t>
      </w:r>
      <w:r w:rsidRPr="000C1AD3">
        <w:rPr>
          <w:sz w:val="20"/>
          <w:szCs w:val="20"/>
        </w:rPr>
        <w:t xml:space="preserve"> Zywave, Inc. All rights reserved.</w:t>
      </w:r>
    </w:p>
    <w:p w14:paraId="10D092CB" w14:textId="77777777" w:rsidR="003532D3" w:rsidRDefault="0097469B" w:rsidP="003532D3">
      <w:pPr>
        <w:pStyle w:val="Heading1"/>
        <w:spacing w:before="40"/>
      </w:pPr>
      <w:r>
        <w:br w:type="page"/>
      </w:r>
      <w:bookmarkStart w:id="5" w:name="_Toc256000001"/>
      <w:bookmarkStart w:id="6" w:name="_Toc373994748"/>
      <w:r w:rsidRPr="0025087E">
        <w:lastRenderedPageBreak/>
        <w:t>INTRODUCTION</w:t>
      </w:r>
      <w:bookmarkEnd w:id="5"/>
      <w:bookmarkEnd w:id="6"/>
    </w:p>
    <w:p w14:paraId="2C9C4240" w14:textId="77777777" w:rsidR="003532D3" w:rsidRPr="00FF122F" w:rsidRDefault="0097469B" w:rsidP="003532D3">
      <w:r>
        <w:rPr>
          <w:noProof/>
        </w:rPr>
        <mc:AlternateContent>
          <mc:Choice Requires="wps">
            <w:drawing>
              <wp:anchor distT="0" distB="0" distL="114300" distR="114300" simplePos="0" relativeHeight="251674624" behindDoc="0" locked="0" layoutInCell="1" allowOverlap="1" wp14:anchorId="4E33CC0C" wp14:editId="3427D502">
                <wp:simplePos x="0" y="0"/>
                <wp:positionH relativeFrom="column">
                  <wp:posOffset>0</wp:posOffset>
                </wp:positionH>
                <wp:positionV relativeFrom="paragraph">
                  <wp:posOffset>-73025</wp:posOffset>
                </wp:positionV>
                <wp:extent cx="1546860" cy="46355"/>
                <wp:effectExtent l="0" t="4445" r="0" b="0"/>
                <wp:wrapNone/>
                <wp:docPr id="3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46355"/>
                        </a:xfrm>
                        <a:prstGeom prst="rect">
                          <a:avLst/>
                        </a:prstGeom>
                        <a:solidFill>
                          <a:srgbClr val="548DD4"/>
                        </a:solidFill>
                        <a:ln>
                          <a:noFill/>
                        </a:ln>
                        <a:extLst>
                          <a:ext uri="{91240B29-F687-4F45-9708-019B960494DF}">
                            <a14:hiddenLine xmlns:a14="http://schemas.microsoft.com/office/drawing/2010/main" w="9525">
                              <a:solidFill>
                                <a:srgbClr val="548DD4"/>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 o:spid="_x0000_s1029" style="width:121.8pt;height:3.65pt;margin-top:-5.75pt;margin-left:0;mso-height-percent:0;mso-height-relative:page;mso-width-percent:0;mso-width-relative:page;mso-wrap-distance-bottom:0;mso-wrap-distance-left:9pt;mso-wrap-distance-right:9pt;mso-wrap-distance-top:0;mso-wrap-style:square;position:absolute;v-text-anchor:top;visibility:visible;z-index:251675648" fillcolor="#548dd4" stroked="f" strokecolor="#548dd4"/>
            </w:pict>
          </mc:Fallback>
        </mc:AlternateContent>
      </w:r>
      <w:r>
        <w:rPr>
          <w:noProof/>
        </w:rPr>
        <mc:AlternateContent>
          <mc:Choice Requires="wps">
            <w:drawing>
              <wp:anchor distT="0" distB="0" distL="114300" distR="114300" simplePos="0" relativeHeight="251660288" behindDoc="0" locked="0" layoutInCell="1" allowOverlap="1" wp14:anchorId="77236FBC" wp14:editId="2582807A">
                <wp:simplePos x="0" y="0"/>
                <wp:positionH relativeFrom="column">
                  <wp:posOffset>0</wp:posOffset>
                </wp:positionH>
                <wp:positionV relativeFrom="paragraph">
                  <wp:posOffset>-73025</wp:posOffset>
                </wp:positionV>
                <wp:extent cx="5943600" cy="0"/>
                <wp:effectExtent l="9525" t="13970" r="9525" b="5080"/>
                <wp:wrapNone/>
                <wp:docPr id="3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30" type="#_x0000_t32" style="width:468pt;height:0;margin-top:-5.75pt;margin-left:0;mso-height-percent:0;mso-height-relative:page;mso-width-percent:0;mso-width-relative:page;mso-wrap-distance-bottom:0;mso-wrap-distance-left:9pt;mso-wrap-distance-right:9pt;mso-wrap-distance-top:0;mso-wrap-style:square;position:absolute;visibility:visible;z-index:251661312" strokecolor="#548dd4"/>
            </w:pict>
          </mc:Fallback>
        </mc:AlternateContent>
      </w:r>
    </w:p>
    <w:p w14:paraId="01A65630" w14:textId="77777777" w:rsidR="003532D3" w:rsidRDefault="0097469B" w:rsidP="003532D3">
      <w:pPr>
        <w:rPr>
          <w:sz w:val="24"/>
          <w:szCs w:val="24"/>
        </w:rPr>
      </w:pPr>
      <w:r>
        <w:rPr>
          <w:sz w:val="24"/>
          <w:szCs w:val="24"/>
        </w:rPr>
        <w:t>T</w:t>
      </w:r>
      <w:r w:rsidRPr="00D4654D">
        <w:rPr>
          <w:sz w:val="24"/>
          <w:szCs w:val="24"/>
        </w:rPr>
        <w:t xml:space="preserve">he Department of Labor (DOL) </w:t>
      </w:r>
      <w:r>
        <w:rPr>
          <w:sz w:val="24"/>
          <w:szCs w:val="24"/>
        </w:rPr>
        <w:t xml:space="preserve">has broad authority to </w:t>
      </w:r>
      <w:r>
        <w:rPr>
          <w:sz w:val="24"/>
          <w:szCs w:val="24"/>
        </w:rPr>
        <w:t>investigate or audit an employee benefit plan’s compliance with the Employee Retirement Income Security Act (ERISA). Audits are performed by the DOL’s Employee Benefits Security Administration (EBSA). To perform thes</w:t>
      </w:r>
      <w:r w:rsidR="00C94D1B">
        <w:rPr>
          <w:sz w:val="24"/>
          <w:szCs w:val="24"/>
        </w:rPr>
        <w:t xml:space="preserve">e audits, EBSA employs </w:t>
      </w:r>
      <w:r>
        <w:rPr>
          <w:sz w:val="24"/>
          <w:szCs w:val="24"/>
        </w:rPr>
        <w:t xml:space="preserve">investigators working out of field offices, </w:t>
      </w:r>
      <w:r w:rsidRPr="00C802C2">
        <w:rPr>
          <w:sz w:val="24"/>
          <w:szCs w:val="24"/>
        </w:rPr>
        <w:t>many of whom</w:t>
      </w:r>
      <w:r>
        <w:rPr>
          <w:sz w:val="24"/>
          <w:szCs w:val="24"/>
        </w:rPr>
        <w:t xml:space="preserve"> are lawyers or CPAs or have advanced degrees in business and finance.</w:t>
      </w:r>
    </w:p>
    <w:p w14:paraId="6545271B" w14:textId="77777777" w:rsidR="003532D3" w:rsidRDefault="0097469B" w:rsidP="003532D3">
      <w:pPr>
        <w:rPr>
          <w:sz w:val="24"/>
          <w:szCs w:val="24"/>
        </w:rPr>
      </w:pPr>
      <w:r>
        <w:rPr>
          <w:sz w:val="24"/>
          <w:szCs w:val="24"/>
        </w:rPr>
        <w:t xml:space="preserve">DOL audits often focus on violations of ERISA’s fiduciary obligations and reporting and disclosure requirements. The DOL may also investigate whether an employee benefit plan complies with ERISA’s protections for plan participants, such as the special enrollment rules or mental health </w:t>
      </w:r>
      <w:r w:rsidR="00834BEC">
        <w:rPr>
          <w:sz w:val="24"/>
          <w:szCs w:val="24"/>
        </w:rPr>
        <w:t>parity requirements. The DOL also uses</w:t>
      </w:r>
      <w:r>
        <w:rPr>
          <w:sz w:val="24"/>
          <w:szCs w:val="24"/>
        </w:rPr>
        <w:t xml:space="preserve"> its investigative authority to enforce compliance with the health care reform law, or the Affordable Care Act (ACA).</w:t>
      </w:r>
    </w:p>
    <w:p w14:paraId="28FA3571" w14:textId="77777777" w:rsidR="003532D3" w:rsidRDefault="0097469B" w:rsidP="003532D3">
      <w:pPr>
        <w:rPr>
          <w:sz w:val="24"/>
          <w:szCs w:val="24"/>
        </w:rPr>
      </w:pPr>
      <w:r>
        <w:rPr>
          <w:sz w:val="24"/>
          <w:szCs w:val="24"/>
        </w:rPr>
        <w:t xml:space="preserve">Being selected for a DOL audit can have </w:t>
      </w:r>
      <w:r w:rsidRPr="00874468">
        <w:rPr>
          <w:b/>
          <w:sz w:val="24"/>
          <w:szCs w:val="24"/>
        </w:rPr>
        <w:t>serious consequences</w:t>
      </w:r>
      <w:r>
        <w:rPr>
          <w:sz w:val="24"/>
          <w:szCs w:val="24"/>
        </w:rPr>
        <w:t xml:space="preserve"> fo</w:t>
      </w:r>
      <w:r w:rsidRPr="00AD35CB">
        <w:rPr>
          <w:sz w:val="24"/>
          <w:szCs w:val="24"/>
        </w:rPr>
        <w:t xml:space="preserve">r an </w:t>
      </w:r>
      <w:r w:rsidRPr="00D113E3">
        <w:rPr>
          <w:sz w:val="24"/>
          <w:szCs w:val="24"/>
        </w:rPr>
        <w:t>employer. According to a DOL audit report fo</w:t>
      </w:r>
      <w:r w:rsidR="00C94D1B" w:rsidRPr="00D113E3">
        <w:rPr>
          <w:sz w:val="24"/>
          <w:szCs w:val="24"/>
        </w:rPr>
        <w:t>r the 20</w:t>
      </w:r>
      <w:r w:rsidR="00AD35CB" w:rsidRPr="00D113E3">
        <w:rPr>
          <w:sz w:val="24"/>
          <w:szCs w:val="24"/>
        </w:rPr>
        <w:t>2</w:t>
      </w:r>
      <w:r w:rsidR="004951DC">
        <w:rPr>
          <w:sz w:val="24"/>
          <w:szCs w:val="24"/>
        </w:rPr>
        <w:t>3</w:t>
      </w:r>
      <w:r w:rsidR="00C94D1B" w:rsidRPr="00D113E3">
        <w:rPr>
          <w:sz w:val="24"/>
          <w:szCs w:val="24"/>
        </w:rPr>
        <w:t xml:space="preserve"> fiscal year, 6</w:t>
      </w:r>
      <w:r w:rsidR="00B6351A">
        <w:rPr>
          <w:sz w:val="24"/>
          <w:szCs w:val="24"/>
        </w:rPr>
        <w:t>9</w:t>
      </w:r>
      <w:r w:rsidR="00C94D1B" w:rsidRPr="00D113E3">
        <w:rPr>
          <w:sz w:val="24"/>
          <w:szCs w:val="24"/>
        </w:rPr>
        <w:t xml:space="preserve"> percent of civil</w:t>
      </w:r>
      <w:r w:rsidR="004E09F7" w:rsidRPr="00D113E3">
        <w:rPr>
          <w:sz w:val="24"/>
          <w:szCs w:val="24"/>
        </w:rPr>
        <w:t xml:space="preserve"> </w:t>
      </w:r>
      <w:r w:rsidRPr="00D113E3">
        <w:rPr>
          <w:sz w:val="24"/>
          <w:szCs w:val="24"/>
        </w:rPr>
        <w:t>investigations resulted in penalties or required other corrective action, such as paying amounts to restore losses, disgorging profits and ensuring claims were properly processed and paid.</w:t>
      </w:r>
      <w:r w:rsidRPr="00AD35CB">
        <w:rPr>
          <w:sz w:val="24"/>
          <w:szCs w:val="24"/>
        </w:rPr>
        <w:t xml:space="preserve"> In</w:t>
      </w:r>
      <w:r>
        <w:rPr>
          <w:sz w:val="24"/>
          <w:szCs w:val="24"/>
        </w:rPr>
        <w:t xml:space="preserve"> addition, a DOL audit may negatively affect an employer’s normal business operations because the audit process can be both stressful and time-consuming. The best time for an employer to analyze whether it is ready for a DOL audit is </w:t>
      </w:r>
      <w:r w:rsidRPr="00D56133">
        <w:rPr>
          <w:b/>
          <w:sz w:val="24"/>
          <w:szCs w:val="24"/>
        </w:rPr>
        <w:t xml:space="preserve">before </w:t>
      </w:r>
      <w:r>
        <w:rPr>
          <w:sz w:val="24"/>
          <w:szCs w:val="24"/>
        </w:rPr>
        <w:t>the DOL comes knocking.</w:t>
      </w:r>
    </w:p>
    <w:p w14:paraId="21E0EDF2" w14:textId="77777777" w:rsidR="003532D3" w:rsidRPr="00D4654D" w:rsidRDefault="0097469B" w:rsidP="003532D3">
      <w:pPr>
        <w:spacing w:after="120"/>
        <w:rPr>
          <w:sz w:val="24"/>
          <w:szCs w:val="24"/>
        </w:rPr>
      </w:pPr>
      <w:r>
        <w:rPr>
          <w:b/>
          <w:sz w:val="24"/>
          <w:szCs w:val="24"/>
        </w:rPr>
        <w:t xml:space="preserve">This </w:t>
      </w:r>
      <w:r w:rsidRPr="00CF64E7">
        <w:rPr>
          <w:b/>
          <w:sz w:val="24"/>
          <w:szCs w:val="24"/>
        </w:rPr>
        <w:t>Guide</w:t>
      </w:r>
      <w:r>
        <w:rPr>
          <w:b/>
          <w:sz w:val="24"/>
          <w:szCs w:val="24"/>
        </w:rPr>
        <w:t xml:space="preserve"> is your manual for preparing for a </w:t>
      </w:r>
      <w:r w:rsidRPr="00CF64E7">
        <w:rPr>
          <w:b/>
          <w:sz w:val="24"/>
          <w:szCs w:val="24"/>
        </w:rPr>
        <w:t>DOL audit</w:t>
      </w:r>
      <w:r>
        <w:rPr>
          <w:b/>
          <w:sz w:val="24"/>
          <w:szCs w:val="24"/>
        </w:rPr>
        <w:t xml:space="preserve"> of your HEALTH PLAN</w:t>
      </w:r>
      <w:r>
        <w:rPr>
          <w:sz w:val="24"/>
          <w:szCs w:val="24"/>
        </w:rPr>
        <w:t>. This Guide</w:t>
      </w:r>
      <w:r w:rsidRPr="00D4654D">
        <w:rPr>
          <w:sz w:val="24"/>
          <w:szCs w:val="24"/>
        </w:rPr>
        <w:t xml:space="preserve"> is designed to p</w:t>
      </w:r>
      <w:r>
        <w:rPr>
          <w:sz w:val="24"/>
          <w:szCs w:val="24"/>
        </w:rPr>
        <w:t xml:space="preserve">rovide you with an overview of why certain health plans are selected for audit and what you can do to prepare for an audit and reduce your risk of being audited. It also describes </w:t>
      </w:r>
      <w:r w:rsidRPr="00D4654D">
        <w:rPr>
          <w:sz w:val="24"/>
          <w:szCs w:val="24"/>
        </w:rPr>
        <w:t>what is typically req</w:t>
      </w:r>
      <w:r>
        <w:rPr>
          <w:sz w:val="24"/>
          <w:szCs w:val="24"/>
        </w:rPr>
        <w:t xml:space="preserve">uired of an employer during a health plan </w:t>
      </w:r>
      <w:r w:rsidRPr="00D4654D">
        <w:rPr>
          <w:sz w:val="24"/>
          <w:szCs w:val="24"/>
        </w:rPr>
        <w:t xml:space="preserve">audit. </w:t>
      </w:r>
      <w:r>
        <w:rPr>
          <w:sz w:val="24"/>
          <w:szCs w:val="24"/>
        </w:rPr>
        <w:t xml:space="preserve">It </w:t>
      </w:r>
      <w:r w:rsidRPr="00D4654D">
        <w:rPr>
          <w:sz w:val="24"/>
          <w:szCs w:val="24"/>
        </w:rPr>
        <w:t>includes:</w:t>
      </w:r>
    </w:p>
    <w:p w14:paraId="4D1511BD" w14:textId="77777777" w:rsidR="003532D3" w:rsidRPr="00D4654D" w:rsidRDefault="0097469B" w:rsidP="003532D3">
      <w:pPr>
        <w:pStyle w:val="ListParagraph"/>
        <w:numPr>
          <w:ilvl w:val="0"/>
          <w:numId w:val="1"/>
        </w:numPr>
        <w:ind w:left="1080"/>
        <w:rPr>
          <w:sz w:val="24"/>
          <w:szCs w:val="24"/>
        </w:rPr>
      </w:pPr>
      <w:r>
        <w:rPr>
          <w:sz w:val="24"/>
          <w:szCs w:val="24"/>
        </w:rPr>
        <w:t>Suggestions on how to prepare for a DOL audit;</w:t>
      </w:r>
    </w:p>
    <w:p w14:paraId="3C565BAC" w14:textId="77777777" w:rsidR="003532D3" w:rsidRDefault="0097469B" w:rsidP="003532D3">
      <w:pPr>
        <w:pStyle w:val="ListParagraph"/>
        <w:numPr>
          <w:ilvl w:val="0"/>
          <w:numId w:val="1"/>
        </w:numPr>
        <w:ind w:left="1080"/>
        <w:rPr>
          <w:sz w:val="24"/>
          <w:szCs w:val="24"/>
        </w:rPr>
      </w:pPr>
      <w:r>
        <w:rPr>
          <w:sz w:val="24"/>
          <w:szCs w:val="24"/>
        </w:rPr>
        <w:t xml:space="preserve">Tips for responding to </w:t>
      </w:r>
      <w:r w:rsidRPr="00AF288A">
        <w:rPr>
          <w:sz w:val="24"/>
          <w:szCs w:val="24"/>
        </w:rPr>
        <w:t>a DOL audit</w:t>
      </w:r>
      <w:r>
        <w:rPr>
          <w:sz w:val="24"/>
          <w:szCs w:val="24"/>
        </w:rPr>
        <w:t xml:space="preserve"> letter;</w:t>
      </w:r>
    </w:p>
    <w:p w14:paraId="5807B16C" w14:textId="77777777" w:rsidR="003532D3" w:rsidRDefault="0097469B" w:rsidP="003532D3">
      <w:pPr>
        <w:pStyle w:val="ListParagraph"/>
        <w:numPr>
          <w:ilvl w:val="0"/>
          <w:numId w:val="1"/>
        </w:numPr>
        <w:ind w:left="1080"/>
        <w:rPr>
          <w:sz w:val="24"/>
          <w:szCs w:val="24"/>
        </w:rPr>
      </w:pPr>
      <w:r>
        <w:rPr>
          <w:sz w:val="24"/>
          <w:szCs w:val="24"/>
        </w:rPr>
        <w:t xml:space="preserve">A list of </w:t>
      </w:r>
      <w:r w:rsidRPr="00AF288A">
        <w:rPr>
          <w:sz w:val="24"/>
          <w:szCs w:val="24"/>
        </w:rPr>
        <w:t>document</w:t>
      </w:r>
      <w:r>
        <w:rPr>
          <w:sz w:val="24"/>
          <w:szCs w:val="24"/>
        </w:rPr>
        <w:t>s that DOL investigators commonly request during an audit; and</w:t>
      </w:r>
    </w:p>
    <w:p w14:paraId="3A2E5134" w14:textId="77777777" w:rsidR="003532D3" w:rsidRPr="00697417" w:rsidRDefault="0097469B" w:rsidP="003532D3">
      <w:pPr>
        <w:pStyle w:val="ListParagraph"/>
        <w:numPr>
          <w:ilvl w:val="0"/>
          <w:numId w:val="1"/>
        </w:numPr>
        <w:ind w:left="1080"/>
        <w:rPr>
          <w:sz w:val="24"/>
          <w:szCs w:val="24"/>
        </w:rPr>
      </w:pPr>
      <w:r w:rsidRPr="00697417">
        <w:rPr>
          <w:sz w:val="24"/>
          <w:szCs w:val="24"/>
        </w:rPr>
        <w:t>A list of avai</w:t>
      </w:r>
      <w:r>
        <w:rPr>
          <w:sz w:val="24"/>
          <w:szCs w:val="24"/>
        </w:rPr>
        <w:t>lable resources and sample documents</w:t>
      </w:r>
      <w:r w:rsidRPr="00697417">
        <w:rPr>
          <w:sz w:val="24"/>
          <w:szCs w:val="24"/>
        </w:rPr>
        <w:t xml:space="preserve"> to</w:t>
      </w:r>
      <w:r>
        <w:rPr>
          <w:sz w:val="24"/>
          <w:szCs w:val="24"/>
        </w:rPr>
        <w:t xml:space="preserve"> help you prepare for an audit.</w:t>
      </w:r>
    </w:p>
    <w:p w14:paraId="1DEE10FC" w14:textId="77777777" w:rsidR="003532D3" w:rsidRPr="00DF0976" w:rsidRDefault="0097469B" w:rsidP="003532D3">
      <w:pPr>
        <w:pStyle w:val="Heading1"/>
      </w:pPr>
      <w:r>
        <w:br w:type="page"/>
      </w:r>
      <w:bookmarkStart w:id="7" w:name="_Toc256000002"/>
      <w:bookmarkStart w:id="8" w:name="_Toc373994749"/>
      <w:r>
        <w:lastRenderedPageBreak/>
        <w:t>PREPARING FOR (AND AVOIDING) A DOL AUDIT</w:t>
      </w:r>
      <w:bookmarkEnd w:id="7"/>
      <w:bookmarkEnd w:id="8"/>
    </w:p>
    <w:p w14:paraId="510E45E6" w14:textId="77777777" w:rsidR="003532D3" w:rsidRDefault="0097469B" w:rsidP="003532D3">
      <w:r>
        <w:rPr>
          <w:noProof/>
        </w:rPr>
        <mc:AlternateContent>
          <mc:Choice Requires="wps">
            <w:drawing>
              <wp:anchor distT="0" distB="0" distL="114300" distR="114300" simplePos="0" relativeHeight="251676672" behindDoc="0" locked="0" layoutInCell="1" allowOverlap="1" wp14:anchorId="1A87817E" wp14:editId="5B7F88F3">
                <wp:simplePos x="0" y="0"/>
                <wp:positionH relativeFrom="column">
                  <wp:posOffset>0</wp:posOffset>
                </wp:positionH>
                <wp:positionV relativeFrom="paragraph">
                  <wp:posOffset>-75565</wp:posOffset>
                </wp:positionV>
                <wp:extent cx="1546860" cy="46355"/>
                <wp:effectExtent l="0" t="1905" r="0" b="0"/>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46355"/>
                        </a:xfrm>
                        <a:prstGeom prst="rect">
                          <a:avLst/>
                        </a:prstGeom>
                        <a:solidFill>
                          <a:srgbClr val="548DD4"/>
                        </a:solidFill>
                        <a:ln>
                          <a:noFill/>
                        </a:ln>
                        <a:extLst>
                          <a:ext uri="{91240B29-F687-4F45-9708-019B960494DF}">
                            <a14:hiddenLine xmlns:a14="http://schemas.microsoft.com/office/drawing/2010/main" w="9525">
                              <a:solidFill>
                                <a:srgbClr val="548DD4"/>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 o:spid="_x0000_s1031" style="width:121.8pt;height:3.65pt;margin-top:-5.95pt;margin-left:0;mso-height-percent:0;mso-height-relative:page;mso-width-percent:0;mso-width-relative:page;mso-wrap-distance-bottom:0;mso-wrap-distance-left:9pt;mso-wrap-distance-right:9pt;mso-wrap-distance-top:0;mso-wrap-style:square;position:absolute;v-text-anchor:top;visibility:visible;z-index:251677696" fillcolor="#548dd4" stroked="f" strokecolor="#548dd4"/>
            </w:pict>
          </mc:Fallback>
        </mc:AlternateContent>
      </w:r>
      <w:r>
        <w:rPr>
          <w:noProof/>
        </w:rPr>
        <mc:AlternateContent>
          <mc:Choice Requires="wps">
            <w:drawing>
              <wp:anchor distT="0" distB="0" distL="114300" distR="114300" simplePos="0" relativeHeight="251664384" behindDoc="0" locked="0" layoutInCell="1" allowOverlap="1" wp14:anchorId="46B5CBBC" wp14:editId="4755D5FF">
                <wp:simplePos x="0" y="0"/>
                <wp:positionH relativeFrom="column">
                  <wp:posOffset>1270</wp:posOffset>
                </wp:positionH>
                <wp:positionV relativeFrom="paragraph">
                  <wp:posOffset>-75565</wp:posOffset>
                </wp:positionV>
                <wp:extent cx="5943600" cy="0"/>
                <wp:effectExtent l="10795" t="11430" r="8255" b="7620"/>
                <wp:wrapNone/>
                <wp:docPr id="3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32" type="#_x0000_t32" style="width:468pt;height:0;margin-top:-5.95pt;margin-left:0.1pt;mso-height-percent:0;mso-height-relative:page;mso-width-percent:0;mso-width-relative:page;mso-wrap-distance-bottom:0;mso-wrap-distance-left:9pt;mso-wrap-distance-right:9pt;mso-wrap-distance-top:0;mso-wrap-style:square;position:absolute;visibility:visible;z-index:251665408" strokecolor="#548dd4"/>
            </w:pict>
          </mc:Fallback>
        </mc:AlternateContent>
      </w:r>
    </w:p>
    <w:p w14:paraId="2B9C64CB" w14:textId="77777777" w:rsidR="003532D3" w:rsidRDefault="0097469B" w:rsidP="003532D3">
      <w:pPr>
        <w:rPr>
          <w:sz w:val="24"/>
          <w:szCs w:val="24"/>
        </w:rPr>
      </w:pPr>
      <w:r>
        <w:rPr>
          <w:sz w:val="24"/>
          <w:szCs w:val="24"/>
        </w:rPr>
        <w:t xml:space="preserve">Because a DOL audit can disrupt an employer’s day-to-day business operations and possibly result in penalties (or other corrective action), </w:t>
      </w:r>
      <w:r w:rsidRPr="009A658E">
        <w:rPr>
          <w:sz w:val="24"/>
          <w:szCs w:val="24"/>
        </w:rPr>
        <w:t>it is important for employers to</w:t>
      </w:r>
      <w:r>
        <w:rPr>
          <w:sz w:val="24"/>
          <w:szCs w:val="24"/>
        </w:rPr>
        <w:t xml:space="preserve"> know how to prepare for</w:t>
      </w:r>
      <w:r w:rsidRPr="009A658E">
        <w:rPr>
          <w:sz w:val="24"/>
          <w:szCs w:val="24"/>
        </w:rPr>
        <w:t xml:space="preserve">, and </w:t>
      </w:r>
      <w:r>
        <w:rPr>
          <w:sz w:val="24"/>
          <w:szCs w:val="24"/>
        </w:rPr>
        <w:t>potentially avoid</w:t>
      </w:r>
      <w:r w:rsidRPr="009A658E">
        <w:rPr>
          <w:sz w:val="24"/>
          <w:szCs w:val="24"/>
        </w:rPr>
        <w:t>, a DOL audit</w:t>
      </w:r>
      <w:r>
        <w:rPr>
          <w:sz w:val="24"/>
          <w:szCs w:val="24"/>
        </w:rPr>
        <w:t xml:space="preserve"> of their health plan</w:t>
      </w:r>
      <w:r w:rsidRPr="009A658E">
        <w:rPr>
          <w:sz w:val="24"/>
          <w:szCs w:val="24"/>
        </w:rPr>
        <w:t>.</w:t>
      </w:r>
    </w:p>
    <w:p w14:paraId="29D38A3A" w14:textId="77777777" w:rsidR="003532D3" w:rsidRDefault="0097469B" w:rsidP="003532D3">
      <w:pPr>
        <w:rPr>
          <w:sz w:val="24"/>
          <w:szCs w:val="24"/>
        </w:rPr>
      </w:pPr>
      <w:r>
        <w:rPr>
          <w:sz w:val="24"/>
          <w:szCs w:val="24"/>
        </w:rPr>
        <w:t>As a general rule, the best way to prepare for a DOL audit of your health plan is to confirm that your plan complies with all applicable federal laws, such as HIPAA and the ACA. It is also important to have documents showing your compliance and to maintain these documents so they are easy to access in the event of a DOL audit. If an employer takes these steps before being selected for audit, it can reduce its exposure to penalties. It can also make the audit process more manageable and less time-consuming.</w:t>
      </w:r>
    </w:p>
    <w:p w14:paraId="336A9BAD" w14:textId="77777777" w:rsidR="003532D3" w:rsidRDefault="0097469B" w:rsidP="003532D3">
      <w:pPr>
        <w:rPr>
          <w:sz w:val="24"/>
          <w:szCs w:val="24"/>
        </w:rPr>
      </w:pPr>
      <w:r>
        <w:rPr>
          <w:sz w:val="24"/>
          <w:szCs w:val="24"/>
        </w:rPr>
        <w:t>It is also important for an employer to understand why the DOL selects certain health plans for audit and take steps to minimize that audit risk.</w:t>
      </w:r>
    </w:p>
    <w:p w14:paraId="1BE31610" w14:textId="77777777" w:rsidR="003532D3" w:rsidRPr="00984C93" w:rsidRDefault="0097469B" w:rsidP="003532D3">
      <w:pPr>
        <w:pStyle w:val="Heading2"/>
        <w:rPr>
          <w:color w:val="548DD4"/>
        </w:rPr>
      </w:pPr>
      <w:bookmarkStart w:id="9" w:name="_Toc256000003"/>
      <w:bookmarkStart w:id="10" w:name="_Toc373994750"/>
      <w:bookmarkStart w:id="11" w:name="_Toc373995550"/>
      <w:r w:rsidRPr="00984C93">
        <w:rPr>
          <w:color w:val="548DD4"/>
        </w:rPr>
        <w:t>AUDIT TRIGGERS</w:t>
      </w:r>
      <w:bookmarkEnd w:id="9"/>
      <w:bookmarkEnd w:id="10"/>
      <w:bookmarkEnd w:id="11"/>
    </w:p>
    <w:p w14:paraId="71D231F6" w14:textId="77777777" w:rsidR="003532D3" w:rsidRDefault="0097469B" w:rsidP="003532D3">
      <w:pPr>
        <w:rPr>
          <w:sz w:val="24"/>
          <w:szCs w:val="24"/>
        </w:rPr>
      </w:pPr>
      <w:r>
        <w:rPr>
          <w:sz w:val="24"/>
          <w:szCs w:val="24"/>
        </w:rPr>
        <w:t>A DOL audit can be triggered for a variety of reasons. In most cases, the DOL investigator will not disclose to an employer why its health plan was selected for audit. However, there are some common audit triggers that an employer should keep in mind.</w:t>
      </w:r>
    </w:p>
    <w:p w14:paraId="27D39584" w14:textId="77777777" w:rsidR="003532D3" w:rsidRPr="009A658E" w:rsidRDefault="0097469B" w:rsidP="003532D3">
      <w:pPr>
        <w:pStyle w:val="NoSpacing"/>
      </w:pPr>
      <w:r>
        <w:t>Common triggers for a DOL audit include:</w:t>
      </w:r>
    </w:p>
    <w:p w14:paraId="7B1BB933" w14:textId="77777777" w:rsidR="003532D3" w:rsidRPr="009A658E" w:rsidRDefault="0097469B" w:rsidP="003532D3">
      <w:pPr>
        <w:pStyle w:val="ListParagraph"/>
        <w:numPr>
          <w:ilvl w:val="0"/>
          <w:numId w:val="2"/>
        </w:numPr>
        <w:ind w:left="1080"/>
        <w:contextualSpacing w:val="0"/>
        <w:rPr>
          <w:sz w:val="24"/>
          <w:szCs w:val="24"/>
        </w:rPr>
      </w:pPr>
      <w:r w:rsidRPr="00697417">
        <w:rPr>
          <w:b/>
          <w:sz w:val="24"/>
          <w:szCs w:val="24"/>
        </w:rPr>
        <w:t>Participant complaints</w:t>
      </w:r>
      <w:r w:rsidRPr="009A658E">
        <w:rPr>
          <w:sz w:val="24"/>
          <w:szCs w:val="24"/>
        </w:rPr>
        <w:t xml:space="preserve"> to the</w:t>
      </w:r>
      <w:r>
        <w:rPr>
          <w:sz w:val="24"/>
          <w:szCs w:val="24"/>
        </w:rPr>
        <w:t xml:space="preserve"> DOL</w:t>
      </w:r>
      <w:r w:rsidRPr="009A658E">
        <w:rPr>
          <w:sz w:val="24"/>
          <w:szCs w:val="24"/>
        </w:rPr>
        <w:t xml:space="preserve"> about potential ERISA violations</w:t>
      </w:r>
      <w:r w:rsidR="00DA5444">
        <w:rPr>
          <w:sz w:val="24"/>
          <w:szCs w:val="24"/>
        </w:rPr>
        <w:t xml:space="preserve">. </w:t>
      </w:r>
      <w:r>
        <w:rPr>
          <w:sz w:val="24"/>
          <w:szCs w:val="24"/>
        </w:rPr>
        <w:t xml:space="preserve">According to the DOL, when it becomes aware of repeated </w:t>
      </w:r>
      <w:r w:rsidRPr="00861B9F">
        <w:rPr>
          <w:sz w:val="24"/>
          <w:szCs w:val="24"/>
        </w:rPr>
        <w:t>complaints wi</w:t>
      </w:r>
      <w:r>
        <w:rPr>
          <w:sz w:val="24"/>
          <w:szCs w:val="24"/>
        </w:rPr>
        <w:t>th respect to a particular plan, employer</w:t>
      </w:r>
      <w:r w:rsidRPr="00861B9F">
        <w:rPr>
          <w:sz w:val="24"/>
          <w:szCs w:val="24"/>
        </w:rPr>
        <w:t xml:space="preserve"> or service provider, or when there is information indicating a suspected fiduciary breach, the matter is referred for investigation.</w:t>
      </w:r>
    </w:p>
    <w:p w14:paraId="719CC7F8" w14:textId="77777777" w:rsidR="003532D3" w:rsidRDefault="0097469B" w:rsidP="003532D3">
      <w:pPr>
        <w:pStyle w:val="ListParagraph"/>
        <w:numPr>
          <w:ilvl w:val="0"/>
          <w:numId w:val="2"/>
        </w:numPr>
        <w:ind w:left="1080"/>
        <w:contextualSpacing w:val="0"/>
        <w:rPr>
          <w:sz w:val="24"/>
          <w:szCs w:val="24"/>
        </w:rPr>
      </w:pPr>
      <w:r>
        <w:rPr>
          <w:sz w:val="24"/>
          <w:szCs w:val="24"/>
        </w:rPr>
        <w:t xml:space="preserve">Answers on the plan’s </w:t>
      </w:r>
      <w:r w:rsidRPr="00697417">
        <w:rPr>
          <w:b/>
          <w:sz w:val="24"/>
          <w:szCs w:val="24"/>
        </w:rPr>
        <w:t>Form 5500</w:t>
      </w:r>
      <w:r>
        <w:rPr>
          <w:b/>
          <w:sz w:val="24"/>
          <w:szCs w:val="24"/>
        </w:rPr>
        <w:t xml:space="preserve">. </w:t>
      </w:r>
      <w:r>
        <w:rPr>
          <w:sz w:val="24"/>
          <w:szCs w:val="24"/>
        </w:rPr>
        <w:t>For example, if a plan’s Form 5500 is incomplete, or if inconsistent information is reported from year to year, the DOL may investigate the issue further.</w:t>
      </w:r>
    </w:p>
    <w:p w14:paraId="26B06B68" w14:textId="77777777" w:rsidR="003532D3" w:rsidRPr="004920A2" w:rsidRDefault="0097469B" w:rsidP="003532D3">
      <w:pPr>
        <w:pStyle w:val="ListParagraph"/>
        <w:numPr>
          <w:ilvl w:val="0"/>
          <w:numId w:val="2"/>
        </w:numPr>
        <w:ind w:left="1080"/>
        <w:contextualSpacing w:val="0"/>
        <w:rPr>
          <w:sz w:val="24"/>
          <w:szCs w:val="24"/>
        </w:rPr>
      </w:pPr>
      <w:r w:rsidRPr="004920A2">
        <w:rPr>
          <w:sz w:val="24"/>
          <w:szCs w:val="24"/>
        </w:rPr>
        <w:t xml:space="preserve">The DOL’s </w:t>
      </w:r>
      <w:r w:rsidRPr="00697417">
        <w:rPr>
          <w:b/>
          <w:sz w:val="24"/>
          <w:szCs w:val="24"/>
        </w:rPr>
        <w:t>national enforcement</w:t>
      </w:r>
      <w:r w:rsidRPr="004920A2">
        <w:rPr>
          <w:sz w:val="24"/>
          <w:szCs w:val="24"/>
        </w:rPr>
        <w:t xml:space="preserve"> priorities or projects, which target the DOL’s resources on certain issues</w:t>
      </w:r>
      <w:r>
        <w:rPr>
          <w:sz w:val="24"/>
          <w:szCs w:val="24"/>
        </w:rPr>
        <w:t>. F</w:t>
      </w:r>
      <w:r w:rsidRPr="004920A2">
        <w:rPr>
          <w:sz w:val="24"/>
          <w:szCs w:val="24"/>
        </w:rPr>
        <w:t>or example, th</w:t>
      </w:r>
      <w:r w:rsidR="00C94D1B">
        <w:rPr>
          <w:sz w:val="24"/>
          <w:szCs w:val="24"/>
        </w:rPr>
        <w:t>e DOL’s Health Enforcement Initiatives</w:t>
      </w:r>
      <w:r w:rsidRPr="004920A2">
        <w:rPr>
          <w:sz w:val="24"/>
          <w:szCs w:val="24"/>
        </w:rPr>
        <w:t xml:space="preserve"> Project focuses on making sure health plans and health insurance issue</w:t>
      </w:r>
      <w:r>
        <w:rPr>
          <w:sz w:val="24"/>
          <w:szCs w:val="24"/>
        </w:rPr>
        <w:t>rs</w:t>
      </w:r>
      <w:r w:rsidR="00C94D1B">
        <w:rPr>
          <w:sz w:val="24"/>
          <w:szCs w:val="24"/>
        </w:rPr>
        <w:t xml:space="preserve"> comply with federal benefits mandates, including the ACA. </w:t>
      </w:r>
    </w:p>
    <w:p w14:paraId="5915476D" w14:textId="77777777" w:rsidR="003532D3" w:rsidRPr="00984C93" w:rsidRDefault="0097469B" w:rsidP="003532D3">
      <w:pPr>
        <w:pStyle w:val="Heading2"/>
        <w:rPr>
          <w:color w:val="548DD4"/>
        </w:rPr>
      </w:pPr>
      <w:bookmarkStart w:id="12" w:name="_Toc256000004"/>
      <w:bookmarkStart w:id="13" w:name="_Toc373994751"/>
      <w:bookmarkStart w:id="14" w:name="_Toc373995551"/>
      <w:r w:rsidRPr="00984C93">
        <w:rPr>
          <w:color w:val="548DD4"/>
        </w:rPr>
        <w:lastRenderedPageBreak/>
        <w:t>MINIMIZING THE RISK</w:t>
      </w:r>
      <w:bookmarkEnd w:id="12"/>
      <w:bookmarkEnd w:id="13"/>
      <w:bookmarkEnd w:id="14"/>
    </w:p>
    <w:p w14:paraId="206207DA" w14:textId="77777777" w:rsidR="003532D3" w:rsidRPr="00281A28" w:rsidRDefault="0097469B" w:rsidP="003532D3">
      <w:pPr>
        <w:rPr>
          <w:b/>
          <w:sz w:val="24"/>
          <w:szCs w:val="24"/>
        </w:rPr>
      </w:pPr>
      <w:r w:rsidRPr="00223840">
        <w:rPr>
          <w:sz w:val="24"/>
          <w:szCs w:val="24"/>
        </w:rPr>
        <w:t>As a practical matter, an employer</w:t>
      </w:r>
      <w:r>
        <w:rPr>
          <w:sz w:val="24"/>
          <w:szCs w:val="24"/>
        </w:rPr>
        <w:t xml:space="preserve"> has little control over whether it will be audited by the DOL. </w:t>
      </w:r>
      <w:r w:rsidRPr="00281A28">
        <w:rPr>
          <w:b/>
          <w:sz w:val="24"/>
          <w:szCs w:val="24"/>
        </w:rPr>
        <w:t>However, an employer can take the following steps to help minimize its exposure to a DOL audit:</w:t>
      </w:r>
    </w:p>
    <w:p w14:paraId="6BD3F535" w14:textId="77777777" w:rsidR="003532D3" w:rsidRPr="009A658E" w:rsidRDefault="0097469B" w:rsidP="003532D3">
      <w:pPr>
        <w:pStyle w:val="ListParagraph"/>
        <w:numPr>
          <w:ilvl w:val="0"/>
          <w:numId w:val="2"/>
        </w:numPr>
        <w:ind w:left="1080"/>
        <w:contextualSpacing w:val="0"/>
        <w:rPr>
          <w:sz w:val="24"/>
          <w:szCs w:val="24"/>
        </w:rPr>
      </w:pPr>
      <w:r>
        <w:rPr>
          <w:sz w:val="24"/>
          <w:szCs w:val="24"/>
        </w:rPr>
        <w:t xml:space="preserve">Respond to participants’ benefit </w:t>
      </w:r>
      <w:r>
        <w:rPr>
          <w:sz w:val="24"/>
          <w:szCs w:val="24"/>
        </w:rPr>
        <w:t>questions and requests for information on a timely basis;</w:t>
      </w:r>
    </w:p>
    <w:p w14:paraId="3D72E93E" w14:textId="77777777" w:rsidR="003532D3" w:rsidRDefault="0097469B" w:rsidP="003532D3">
      <w:pPr>
        <w:pStyle w:val="ListParagraph"/>
        <w:numPr>
          <w:ilvl w:val="0"/>
          <w:numId w:val="2"/>
        </w:numPr>
        <w:ind w:left="1080"/>
        <w:contextualSpacing w:val="0"/>
        <w:rPr>
          <w:sz w:val="24"/>
          <w:szCs w:val="24"/>
        </w:rPr>
      </w:pPr>
      <w:r>
        <w:rPr>
          <w:sz w:val="24"/>
          <w:szCs w:val="24"/>
        </w:rPr>
        <w:t>File Form 5500 on time and make sure it is complete and accurate;</w:t>
      </w:r>
    </w:p>
    <w:p w14:paraId="7C6AB414" w14:textId="77777777" w:rsidR="003532D3" w:rsidRDefault="0097469B" w:rsidP="003532D3">
      <w:pPr>
        <w:pStyle w:val="ListParagraph"/>
        <w:numPr>
          <w:ilvl w:val="0"/>
          <w:numId w:val="2"/>
        </w:numPr>
        <w:ind w:left="1080"/>
        <w:contextualSpacing w:val="0"/>
        <w:rPr>
          <w:sz w:val="24"/>
          <w:szCs w:val="24"/>
        </w:rPr>
      </w:pPr>
      <w:r>
        <w:rPr>
          <w:sz w:val="24"/>
          <w:szCs w:val="24"/>
        </w:rPr>
        <w:t>Distribute participant notices required by law (for example, the Summary of Benefits and Coverage) by the deadline; and</w:t>
      </w:r>
    </w:p>
    <w:p w14:paraId="248B6B30" w14:textId="77777777" w:rsidR="003532D3" w:rsidRDefault="0097469B" w:rsidP="003532D3">
      <w:pPr>
        <w:pStyle w:val="ListParagraph"/>
        <w:numPr>
          <w:ilvl w:val="0"/>
          <w:numId w:val="2"/>
        </w:numPr>
        <w:ind w:left="1080"/>
        <w:contextualSpacing w:val="0"/>
        <w:rPr>
          <w:sz w:val="24"/>
          <w:szCs w:val="24"/>
        </w:rPr>
      </w:pPr>
      <w:r>
        <w:rPr>
          <w:sz w:val="24"/>
          <w:szCs w:val="24"/>
        </w:rPr>
        <w:t>Make timely updates to plan documents and summary plan descriptions (SPDs) to reflect legal and design changes.</w:t>
      </w:r>
    </w:p>
    <w:p w14:paraId="139BD719" w14:textId="77777777" w:rsidR="003532D3" w:rsidRPr="00984C93" w:rsidRDefault="0097469B" w:rsidP="003532D3">
      <w:pPr>
        <w:pStyle w:val="Heading2"/>
        <w:rPr>
          <w:color w:val="548DD4"/>
        </w:rPr>
      </w:pPr>
      <w:bookmarkStart w:id="15" w:name="_Toc256000005"/>
      <w:bookmarkStart w:id="16" w:name="_Toc373994752"/>
      <w:bookmarkStart w:id="17" w:name="_Toc373995552"/>
      <w:r w:rsidRPr="00984C93">
        <w:rPr>
          <w:color w:val="548DD4"/>
        </w:rPr>
        <w:t>COMPLIANCE REVIEW</w:t>
      </w:r>
      <w:bookmarkEnd w:id="15"/>
      <w:bookmarkEnd w:id="16"/>
      <w:bookmarkEnd w:id="17"/>
    </w:p>
    <w:p w14:paraId="5C979892" w14:textId="77777777" w:rsidR="003532D3" w:rsidRPr="009A658E" w:rsidRDefault="0097469B" w:rsidP="003532D3">
      <w:pPr>
        <w:rPr>
          <w:sz w:val="24"/>
          <w:szCs w:val="24"/>
        </w:rPr>
      </w:pPr>
      <w:r>
        <w:rPr>
          <w:sz w:val="24"/>
          <w:szCs w:val="24"/>
        </w:rPr>
        <w:t>Just because an employer has been selected for an audit does not mean that the employer has violated an employee benefits law. E</w:t>
      </w:r>
      <w:r w:rsidRPr="009A658E">
        <w:rPr>
          <w:sz w:val="24"/>
          <w:szCs w:val="24"/>
        </w:rPr>
        <w:t xml:space="preserve">ven an employer </w:t>
      </w:r>
      <w:r>
        <w:rPr>
          <w:sz w:val="24"/>
          <w:szCs w:val="24"/>
        </w:rPr>
        <w:t xml:space="preserve">in </w:t>
      </w:r>
      <w:r w:rsidRPr="009A658E">
        <w:rPr>
          <w:sz w:val="24"/>
          <w:szCs w:val="24"/>
        </w:rPr>
        <w:t>compliance can encounter an unexpected audit</w:t>
      </w:r>
      <w:r>
        <w:rPr>
          <w:sz w:val="24"/>
          <w:szCs w:val="24"/>
        </w:rPr>
        <w:t>. A DOL audit is not a simple process and being “ahead of the game” can potentially save an employer a large amount of money, time and stress.</w:t>
      </w:r>
    </w:p>
    <w:p w14:paraId="3EC5059C" w14:textId="77777777" w:rsidR="003532D3" w:rsidRDefault="0097469B" w:rsidP="003532D3">
      <w:pPr>
        <w:rPr>
          <w:sz w:val="24"/>
          <w:szCs w:val="24"/>
        </w:rPr>
      </w:pPr>
      <w:r w:rsidRPr="009A658E">
        <w:rPr>
          <w:sz w:val="24"/>
          <w:szCs w:val="24"/>
        </w:rPr>
        <w:t>The best way to</w:t>
      </w:r>
      <w:r>
        <w:rPr>
          <w:sz w:val="24"/>
          <w:szCs w:val="24"/>
        </w:rPr>
        <w:t xml:space="preserve"> prepare for a DOL audit </w:t>
      </w:r>
      <w:r w:rsidRPr="009A658E">
        <w:rPr>
          <w:sz w:val="24"/>
          <w:szCs w:val="24"/>
        </w:rPr>
        <w:t>is to remain in compliance</w:t>
      </w:r>
      <w:r>
        <w:rPr>
          <w:sz w:val="24"/>
          <w:szCs w:val="24"/>
        </w:rPr>
        <w:t xml:space="preserve"> with the law</w:t>
      </w:r>
      <w:r w:rsidRPr="009A658E">
        <w:rPr>
          <w:sz w:val="24"/>
          <w:szCs w:val="24"/>
        </w:rPr>
        <w:t xml:space="preserve"> and </w:t>
      </w:r>
      <w:r>
        <w:rPr>
          <w:sz w:val="24"/>
          <w:szCs w:val="24"/>
        </w:rPr>
        <w:t xml:space="preserve">establish a recordkeeping system for </w:t>
      </w:r>
      <w:r w:rsidRPr="009A658E">
        <w:rPr>
          <w:sz w:val="24"/>
          <w:szCs w:val="24"/>
        </w:rPr>
        <w:t>maintain</w:t>
      </w:r>
      <w:r>
        <w:rPr>
          <w:sz w:val="24"/>
          <w:szCs w:val="24"/>
        </w:rPr>
        <w:t>ing</w:t>
      </w:r>
      <w:r w:rsidRPr="009A658E">
        <w:rPr>
          <w:sz w:val="24"/>
          <w:szCs w:val="24"/>
        </w:rPr>
        <w:t xml:space="preserve"> all of </w:t>
      </w:r>
      <w:r>
        <w:rPr>
          <w:sz w:val="24"/>
          <w:szCs w:val="24"/>
        </w:rPr>
        <w:t>the important documents relating to your employee benefit plans. Retaining complete and accurate records will help move along the audit process and provide an accurate picture of your employee benefits. As a general rule, these records should be retained for seven years.</w:t>
      </w:r>
    </w:p>
    <w:p w14:paraId="27751315" w14:textId="77777777" w:rsidR="003532D3" w:rsidRDefault="0097469B" w:rsidP="003532D3">
      <w:pPr>
        <w:rPr>
          <w:sz w:val="24"/>
          <w:szCs w:val="24"/>
        </w:rPr>
      </w:pPr>
      <w:r>
        <w:rPr>
          <w:sz w:val="24"/>
          <w:szCs w:val="24"/>
        </w:rPr>
        <w:t>Employers should consider reviewing their health plans for compliance now, before they are selected for audit. It is important for employers to get their health plans’ paperwork in order as part of this process. Employers may want to designate one location for maintaining records relating to their health plans, such as plan documents and insurance contracts, SPDs and notices required under the ACA and other federal laws (for example, the Women’s Health and Cancer Rights Act). Even though a compliance review</w:t>
      </w:r>
      <w:r>
        <w:rPr>
          <w:sz w:val="24"/>
          <w:szCs w:val="24"/>
        </w:rPr>
        <w:t xml:space="preserve"> will require some time and effort now, it will likely pay off in the future in the event the employer is selected for a DOL audit.</w:t>
      </w:r>
    </w:p>
    <w:p w14:paraId="5169C533" w14:textId="77777777" w:rsidR="003532D3" w:rsidRDefault="0097469B" w:rsidP="003532D3">
      <w:pPr>
        <w:rPr>
          <w:sz w:val="24"/>
          <w:szCs w:val="24"/>
        </w:rPr>
      </w:pPr>
      <w:r>
        <w:rPr>
          <w:sz w:val="24"/>
          <w:szCs w:val="24"/>
        </w:rPr>
        <w:t>This Guide includes a list of available resources and sample documents that employers can use as part of their health plan compliance review.</w:t>
      </w:r>
    </w:p>
    <w:p w14:paraId="61BF14AF" w14:textId="77777777" w:rsidR="003532D3" w:rsidRPr="002C4661" w:rsidRDefault="0097469B" w:rsidP="003532D3">
      <w:pPr>
        <w:rPr>
          <w:b/>
          <w:sz w:val="28"/>
          <w:szCs w:val="28"/>
        </w:rPr>
      </w:pPr>
      <w:r w:rsidRPr="00984C93">
        <w:rPr>
          <w:b/>
          <w:color w:val="548DD4"/>
          <w:sz w:val="28"/>
          <w:szCs w:val="28"/>
        </w:rPr>
        <w:lastRenderedPageBreak/>
        <w:t>CORRECTING</w:t>
      </w:r>
      <w:r>
        <w:rPr>
          <w:b/>
          <w:sz w:val="28"/>
          <w:szCs w:val="28"/>
        </w:rPr>
        <w:t xml:space="preserve"> </w:t>
      </w:r>
      <w:r w:rsidRPr="00984C93">
        <w:rPr>
          <w:b/>
          <w:color w:val="548DD4"/>
          <w:sz w:val="28"/>
          <w:szCs w:val="28"/>
        </w:rPr>
        <w:t>MISTAKES</w:t>
      </w:r>
    </w:p>
    <w:p w14:paraId="7A8971A3" w14:textId="77777777" w:rsidR="003532D3" w:rsidRDefault="0097469B" w:rsidP="003532D3">
      <w:pPr>
        <w:rPr>
          <w:sz w:val="24"/>
          <w:szCs w:val="24"/>
        </w:rPr>
      </w:pPr>
      <w:r>
        <w:rPr>
          <w:sz w:val="24"/>
          <w:szCs w:val="24"/>
        </w:rPr>
        <w:t>If an employer reviews its health plan’s compliance with employee benefit laws and discovers a violation, there may be a way to address the mistake before the DOL discovers it and assesses a penalty. The DOL has self-correction programs for certain violations that an employer discovers prior to being audited. These programs offer incentives to an employer to file delinquent Forms 5500 and correct fiduciary breaches.</w:t>
      </w:r>
    </w:p>
    <w:p w14:paraId="05D961EB" w14:textId="77777777" w:rsidR="003532D3" w:rsidRPr="00D113E3" w:rsidRDefault="0097469B" w:rsidP="003532D3">
      <w:pPr>
        <w:numPr>
          <w:ilvl w:val="0"/>
          <w:numId w:val="10"/>
        </w:numPr>
        <w:rPr>
          <w:sz w:val="24"/>
          <w:szCs w:val="24"/>
        </w:rPr>
      </w:pPr>
      <w:r w:rsidRPr="00A96E92">
        <w:rPr>
          <w:sz w:val="24"/>
          <w:szCs w:val="24"/>
        </w:rPr>
        <w:t xml:space="preserve">The </w:t>
      </w:r>
      <w:r w:rsidRPr="00C94D1B">
        <w:rPr>
          <w:b/>
          <w:sz w:val="24"/>
          <w:szCs w:val="24"/>
        </w:rPr>
        <w:t>Delinquent Filer Voluntary Co</w:t>
      </w:r>
      <w:r w:rsidR="0000511E">
        <w:rPr>
          <w:b/>
          <w:sz w:val="24"/>
          <w:szCs w:val="24"/>
        </w:rPr>
        <w:t>rrection</w:t>
      </w:r>
      <w:r w:rsidRPr="00C94D1B">
        <w:rPr>
          <w:b/>
          <w:sz w:val="24"/>
          <w:szCs w:val="24"/>
        </w:rPr>
        <w:t xml:space="preserve"> Program</w:t>
      </w:r>
      <w:r w:rsidRPr="00A96E92">
        <w:rPr>
          <w:sz w:val="24"/>
          <w:szCs w:val="24"/>
        </w:rPr>
        <w:t xml:space="preserve"> (DFVCP) encourages plan administrators to bring their plans into compliance with ERISA’s Form 5500 filing requirements. The DFVCP gives delinquent plan administrators a way to avoid potentially higher civil penalty assessments by voluntarily filing late Forms 5500 and payin</w:t>
      </w:r>
      <w:r w:rsidR="00BB47FA">
        <w:rPr>
          <w:sz w:val="24"/>
          <w:szCs w:val="24"/>
        </w:rPr>
        <w:t xml:space="preserve">g reduced penalties. </w:t>
      </w:r>
      <w:r w:rsidR="00D113E3" w:rsidRPr="00D113E3">
        <w:rPr>
          <w:sz w:val="24"/>
          <w:szCs w:val="24"/>
        </w:rPr>
        <w:t>Nearly</w:t>
      </w:r>
      <w:r w:rsidR="00BB47FA" w:rsidRPr="00D113E3">
        <w:rPr>
          <w:sz w:val="24"/>
          <w:szCs w:val="24"/>
        </w:rPr>
        <w:t xml:space="preserve"> 2</w:t>
      </w:r>
      <w:r w:rsidR="00C63E1B">
        <w:rPr>
          <w:sz w:val="24"/>
          <w:szCs w:val="24"/>
        </w:rPr>
        <w:t>0</w:t>
      </w:r>
      <w:r w:rsidR="00BB47FA" w:rsidRPr="00D113E3">
        <w:rPr>
          <w:sz w:val="24"/>
          <w:szCs w:val="24"/>
        </w:rPr>
        <w:t>,000</w:t>
      </w:r>
      <w:r w:rsidRPr="00D113E3">
        <w:rPr>
          <w:sz w:val="24"/>
          <w:szCs w:val="24"/>
        </w:rPr>
        <w:t xml:space="preserve"> annual reports were received through </w:t>
      </w:r>
      <w:r w:rsidR="00984C93" w:rsidRPr="00D113E3">
        <w:rPr>
          <w:sz w:val="24"/>
          <w:szCs w:val="24"/>
        </w:rPr>
        <w:t>thi</w:t>
      </w:r>
      <w:r w:rsidR="00BB47FA" w:rsidRPr="00D113E3">
        <w:rPr>
          <w:sz w:val="24"/>
          <w:szCs w:val="24"/>
        </w:rPr>
        <w:t>s program in fiscal year 20</w:t>
      </w:r>
      <w:r w:rsidR="00651846" w:rsidRPr="00D113E3">
        <w:rPr>
          <w:sz w:val="24"/>
          <w:szCs w:val="24"/>
        </w:rPr>
        <w:t>2</w:t>
      </w:r>
      <w:r w:rsidR="00C63E1B">
        <w:rPr>
          <w:sz w:val="24"/>
          <w:szCs w:val="24"/>
        </w:rPr>
        <w:t>3</w:t>
      </w:r>
      <w:r w:rsidRPr="00D113E3">
        <w:rPr>
          <w:sz w:val="24"/>
          <w:szCs w:val="24"/>
        </w:rPr>
        <w:t>.</w:t>
      </w:r>
    </w:p>
    <w:p w14:paraId="7F8E36D4" w14:textId="77777777" w:rsidR="003532D3" w:rsidRPr="00D113E3" w:rsidRDefault="0097469B" w:rsidP="003532D3">
      <w:pPr>
        <w:numPr>
          <w:ilvl w:val="0"/>
          <w:numId w:val="9"/>
        </w:numPr>
        <w:rPr>
          <w:sz w:val="24"/>
          <w:szCs w:val="24"/>
        </w:rPr>
      </w:pPr>
      <w:r w:rsidRPr="00D113E3">
        <w:rPr>
          <w:sz w:val="24"/>
          <w:szCs w:val="24"/>
        </w:rPr>
        <w:t xml:space="preserve">The </w:t>
      </w:r>
      <w:r w:rsidRPr="00D113E3">
        <w:rPr>
          <w:b/>
          <w:sz w:val="24"/>
          <w:szCs w:val="24"/>
        </w:rPr>
        <w:t>Voluntary Fiduciary Correction Program (</w:t>
      </w:r>
      <w:r w:rsidRPr="00D113E3">
        <w:rPr>
          <w:sz w:val="24"/>
          <w:szCs w:val="24"/>
        </w:rPr>
        <w:t>VFCP) allows plan officials who have identified certain violations of ERISA to take corrective action to remedy the breaches and voluntarily report the violations to EBSA, without becoming the subject of an enforce</w:t>
      </w:r>
      <w:r w:rsidR="00BB47FA" w:rsidRPr="00D113E3">
        <w:rPr>
          <w:sz w:val="24"/>
          <w:szCs w:val="24"/>
        </w:rPr>
        <w:t>ment action. In fiscal year 20</w:t>
      </w:r>
      <w:r w:rsidR="00651846" w:rsidRPr="00D113E3">
        <w:rPr>
          <w:sz w:val="24"/>
          <w:szCs w:val="24"/>
        </w:rPr>
        <w:t>2</w:t>
      </w:r>
      <w:r w:rsidR="00A95881">
        <w:rPr>
          <w:sz w:val="24"/>
          <w:szCs w:val="24"/>
        </w:rPr>
        <w:t>3</w:t>
      </w:r>
      <w:r w:rsidR="00BB47FA" w:rsidRPr="00D113E3">
        <w:rPr>
          <w:sz w:val="24"/>
          <w:szCs w:val="24"/>
        </w:rPr>
        <w:t>, EBSA received 1,</w:t>
      </w:r>
      <w:r w:rsidR="00AF222A">
        <w:rPr>
          <w:sz w:val="24"/>
          <w:szCs w:val="24"/>
        </w:rPr>
        <w:t>192</w:t>
      </w:r>
      <w:r w:rsidRPr="00D113E3">
        <w:rPr>
          <w:sz w:val="24"/>
          <w:szCs w:val="24"/>
        </w:rPr>
        <w:t xml:space="preserve"> applications for the VFCP.</w:t>
      </w:r>
    </w:p>
    <w:p w14:paraId="0DDA67A4" w14:textId="77777777" w:rsidR="003532D3" w:rsidRPr="00984C93" w:rsidRDefault="0097469B" w:rsidP="003532D3">
      <w:pPr>
        <w:rPr>
          <w:b/>
          <w:color w:val="548DD4"/>
          <w:sz w:val="28"/>
          <w:szCs w:val="28"/>
        </w:rPr>
      </w:pPr>
      <w:r w:rsidRPr="00D7675A">
        <w:rPr>
          <w:b/>
          <w:color w:val="548DD4"/>
          <w:sz w:val="28"/>
          <w:szCs w:val="28"/>
        </w:rPr>
        <w:t>PENALTIES FOR NON-COMPLIANCE</w:t>
      </w:r>
    </w:p>
    <w:p w14:paraId="0EC6C58A" w14:textId="77777777" w:rsidR="003532D3" w:rsidRDefault="0097469B" w:rsidP="0001218E">
      <w:pPr>
        <w:spacing w:after="0"/>
        <w:rPr>
          <w:sz w:val="24"/>
          <w:szCs w:val="24"/>
        </w:rPr>
      </w:pPr>
      <w:r>
        <w:rPr>
          <w:noProof/>
        </w:rPr>
        <mc:AlternateContent>
          <mc:Choice Requires="wps">
            <w:drawing>
              <wp:anchor distT="0" distB="0" distL="114300" distR="114300" simplePos="0" relativeHeight="251688960" behindDoc="0" locked="1" layoutInCell="1" allowOverlap="1" wp14:anchorId="42FF644A" wp14:editId="5AB73DC1">
                <wp:simplePos x="0" y="0"/>
                <wp:positionH relativeFrom="column">
                  <wp:posOffset>390525</wp:posOffset>
                </wp:positionH>
                <wp:positionV relativeFrom="paragraph">
                  <wp:posOffset>1184275</wp:posOffset>
                </wp:positionV>
                <wp:extent cx="4973955" cy="1471930"/>
                <wp:effectExtent l="0" t="0" r="17145" b="13970"/>
                <wp:wrapTopAndBottom/>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3955" cy="1471930"/>
                        </a:xfrm>
                        <a:prstGeom prst="rect">
                          <a:avLst/>
                        </a:prstGeom>
                        <a:solidFill>
                          <a:srgbClr val="FFFFFF"/>
                        </a:solidFill>
                        <a:ln w="19050">
                          <a:solidFill>
                            <a:srgbClr val="0070C0"/>
                          </a:solidFill>
                          <a:miter lim="800000"/>
                          <a:headEnd/>
                          <a:tailEnd/>
                        </a:ln>
                      </wps:spPr>
                      <wps:txbx>
                        <w:txbxContent>
                          <w:p w14:paraId="69E6B7C3" w14:textId="77777777" w:rsidR="005F4771" w:rsidRPr="001916AF" w:rsidRDefault="0097469B" w:rsidP="00984C93">
                            <w:pPr>
                              <w:spacing w:after="120" w:line="240" w:lineRule="auto"/>
                              <w:jc w:val="center"/>
                              <w:rPr>
                                <w:sz w:val="24"/>
                                <w:szCs w:val="24"/>
                              </w:rPr>
                            </w:pPr>
                            <w:r w:rsidRPr="001916AF">
                              <w:rPr>
                                <w:b/>
                                <w:sz w:val="24"/>
                                <w:szCs w:val="24"/>
                              </w:rPr>
                              <w:t>Enforcement Statistics:</w:t>
                            </w:r>
                            <w:r>
                              <w:rPr>
                                <w:sz w:val="24"/>
                                <w:szCs w:val="24"/>
                              </w:rPr>
                              <w:t xml:space="preserve"> </w:t>
                            </w:r>
                            <w:r w:rsidRPr="00D113E3">
                              <w:rPr>
                                <w:sz w:val="24"/>
                                <w:szCs w:val="24"/>
                              </w:rPr>
                              <w:t>During the 202</w:t>
                            </w:r>
                            <w:r w:rsidR="00506B76">
                              <w:rPr>
                                <w:sz w:val="24"/>
                                <w:szCs w:val="24"/>
                              </w:rPr>
                              <w:t>3</w:t>
                            </w:r>
                            <w:r w:rsidRPr="00D113E3">
                              <w:rPr>
                                <w:sz w:val="24"/>
                                <w:szCs w:val="24"/>
                              </w:rPr>
                              <w:t xml:space="preserve"> fiscal year, EBSA closed </w:t>
                            </w:r>
                            <w:r w:rsidR="000631E1">
                              <w:rPr>
                                <w:sz w:val="24"/>
                                <w:szCs w:val="24"/>
                              </w:rPr>
                              <w:t>731</w:t>
                            </w:r>
                            <w:r w:rsidRPr="00D113E3">
                              <w:rPr>
                                <w:sz w:val="24"/>
                                <w:szCs w:val="24"/>
                              </w:rPr>
                              <w:t xml:space="preserve"> civil investigations. Of these, 6</w:t>
                            </w:r>
                            <w:r w:rsidR="000631E1">
                              <w:rPr>
                                <w:sz w:val="24"/>
                                <w:szCs w:val="24"/>
                              </w:rPr>
                              <w:t>9</w:t>
                            </w:r>
                            <w:r w:rsidRPr="00D113E3">
                              <w:rPr>
                                <w:sz w:val="24"/>
                                <w:szCs w:val="24"/>
                              </w:rPr>
                              <w:t xml:space="preserve"> percent resulted in monetary results for employee benefit plans or other corrective action. In addition, EBSA referred </w:t>
                            </w:r>
                            <w:r w:rsidR="00711DC9">
                              <w:rPr>
                                <w:sz w:val="24"/>
                                <w:szCs w:val="24"/>
                              </w:rPr>
                              <w:t>5</w:t>
                            </w:r>
                            <w:r w:rsidR="000631E1">
                              <w:rPr>
                                <w:sz w:val="24"/>
                                <w:szCs w:val="24"/>
                              </w:rPr>
                              <w:t>0</w:t>
                            </w:r>
                            <w:r w:rsidRPr="00D113E3">
                              <w:rPr>
                                <w:sz w:val="24"/>
                                <w:szCs w:val="24"/>
                              </w:rPr>
                              <w:t xml:space="preserve"> civil investigations to litigation and closed </w:t>
                            </w:r>
                            <w:r w:rsidR="00711DC9">
                              <w:rPr>
                                <w:sz w:val="24"/>
                                <w:szCs w:val="24"/>
                              </w:rPr>
                              <w:t>1</w:t>
                            </w:r>
                            <w:r w:rsidR="000631E1">
                              <w:rPr>
                                <w:sz w:val="24"/>
                                <w:szCs w:val="24"/>
                              </w:rPr>
                              <w:t>96</w:t>
                            </w:r>
                            <w:r w:rsidRPr="00D113E3">
                              <w:rPr>
                                <w:sz w:val="24"/>
                                <w:szCs w:val="24"/>
                              </w:rPr>
                              <w:t xml:space="preserve"> criminal investigations. EBSA's criminal investigations led to the indictment of </w:t>
                            </w:r>
                            <w:r w:rsidR="00BA1FDF">
                              <w:rPr>
                                <w:sz w:val="24"/>
                                <w:szCs w:val="24"/>
                              </w:rPr>
                              <w:t>60</w:t>
                            </w:r>
                            <w:r w:rsidRPr="00D113E3">
                              <w:rPr>
                                <w:sz w:val="24"/>
                                <w:szCs w:val="24"/>
                              </w:rPr>
                              <w:t xml:space="preserve"> individuals—including plan officials, corporate officers and service providers—for offenses related to employee benefit plans.</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391.65pt;height:115.9pt;margin-top:93.25pt;margin-left:30.75pt;mso-height-percent:0;mso-height-relative:margin;mso-width-percent:0;mso-width-relative:margin;mso-wrap-distance-bottom:0;mso-wrap-distance-left:9pt;mso-wrap-distance-right:9pt;mso-wrap-distance-top:0;mso-wrap-style:square;position:absolute;v-text-anchor:top;visibility:visible;z-index:251689984" strokecolor="#0070c0" strokeweight="1.5pt">
                <v:textbox>
                  <w:txbxContent>
                    <w:p w:rsidR="005F4771" w:rsidRPr="001916AF" w:rsidP="00984C93" w14:paraId="05BB6EA1" w14:textId="18F8212E">
                      <w:pPr>
                        <w:spacing w:after="120" w:line="240" w:lineRule="auto"/>
                        <w:jc w:val="center"/>
                        <w:rPr>
                          <w:sz w:val="24"/>
                          <w:szCs w:val="24"/>
                        </w:rPr>
                      </w:pPr>
                      <w:r w:rsidRPr="001916AF">
                        <w:rPr>
                          <w:b/>
                          <w:sz w:val="24"/>
                          <w:szCs w:val="24"/>
                        </w:rPr>
                        <w:t>Enforcement Statistics:</w:t>
                      </w:r>
                      <w:r>
                        <w:rPr>
                          <w:sz w:val="24"/>
                          <w:szCs w:val="24"/>
                        </w:rPr>
                        <w:t xml:space="preserve"> </w:t>
                      </w:r>
                      <w:r w:rsidRPr="00D113E3">
                        <w:rPr>
                          <w:sz w:val="24"/>
                          <w:szCs w:val="24"/>
                        </w:rPr>
                        <w:t>During the 202</w:t>
                      </w:r>
                      <w:r w:rsidR="00506B76">
                        <w:rPr>
                          <w:sz w:val="24"/>
                          <w:szCs w:val="24"/>
                        </w:rPr>
                        <w:t>3</w:t>
                      </w:r>
                      <w:r w:rsidRPr="00D113E3">
                        <w:rPr>
                          <w:sz w:val="24"/>
                          <w:szCs w:val="24"/>
                        </w:rPr>
                        <w:t xml:space="preserve"> fiscal year, EBSA closed </w:t>
                      </w:r>
                      <w:r w:rsidR="000631E1">
                        <w:rPr>
                          <w:sz w:val="24"/>
                          <w:szCs w:val="24"/>
                        </w:rPr>
                        <w:t>731</w:t>
                      </w:r>
                      <w:r w:rsidRPr="00D113E3">
                        <w:rPr>
                          <w:sz w:val="24"/>
                          <w:szCs w:val="24"/>
                        </w:rPr>
                        <w:t xml:space="preserve"> civil investigations. Of these, 6</w:t>
                      </w:r>
                      <w:r w:rsidR="000631E1">
                        <w:rPr>
                          <w:sz w:val="24"/>
                          <w:szCs w:val="24"/>
                        </w:rPr>
                        <w:t>9</w:t>
                      </w:r>
                      <w:r w:rsidRPr="00D113E3">
                        <w:rPr>
                          <w:sz w:val="24"/>
                          <w:szCs w:val="24"/>
                        </w:rPr>
                        <w:t xml:space="preserve"> percent resulted in monetary results for employee benefit plans or other corrective action. In addition, EBSA referred </w:t>
                      </w:r>
                      <w:r w:rsidR="00711DC9">
                        <w:rPr>
                          <w:sz w:val="24"/>
                          <w:szCs w:val="24"/>
                        </w:rPr>
                        <w:t>5</w:t>
                      </w:r>
                      <w:r w:rsidR="000631E1">
                        <w:rPr>
                          <w:sz w:val="24"/>
                          <w:szCs w:val="24"/>
                        </w:rPr>
                        <w:t>0</w:t>
                      </w:r>
                      <w:r w:rsidRPr="00D113E3">
                        <w:rPr>
                          <w:sz w:val="24"/>
                          <w:szCs w:val="24"/>
                        </w:rPr>
                        <w:t xml:space="preserve"> civil investigations to litigation and closed </w:t>
                      </w:r>
                      <w:r w:rsidR="00711DC9">
                        <w:rPr>
                          <w:sz w:val="24"/>
                          <w:szCs w:val="24"/>
                        </w:rPr>
                        <w:t>1</w:t>
                      </w:r>
                      <w:r w:rsidR="000631E1">
                        <w:rPr>
                          <w:sz w:val="24"/>
                          <w:szCs w:val="24"/>
                        </w:rPr>
                        <w:t>96</w:t>
                      </w:r>
                      <w:r w:rsidRPr="00D113E3">
                        <w:rPr>
                          <w:sz w:val="24"/>
                          <w:szCs w:val="24"/>
                        </w:rPr>
                        <w:t xml:space="preserve"> criminal investigations. EBSA's criminal investigations led to the indictment of </w:t>
                      </w:r>
                      <w:r w:rsidR="00BA1FDF">
                        <w:rPr>
                          <w:sz w:val="24"/>
                          <w:szCs w:val="24"/>
                        </w:rPr>
                        <w:t>60</w:t>
                      </w:r>
                      <w:r w:rsidRPr="00D113E3">
                        <w:rPr>
                          <w:sz w:val="24"/>
                          <w:szCs w:val="24"/>
                        </w:rPr>
                        <w:t xml:space="preserve"> individuals—including plan officials, corporate </w:t>
                      </w:r>
                      <w:r w:rsidRPr="00D113E3">
                        <w:rPr>
                          <w:sz w:val="24"/>
                          <w:szCs w:val="24"/>
                        </w:rPr>
                        <w:t>officers</w:t>
                      </w:r>
                      <w:r w:rsidRPr="00D113E3">
                        <w:rPr>
                          <w:sz w:val="24"/>
                          <w:szCs w:val="24"/>
                        </w:rPr>
                        <w:t xml:space="preserve"> and service providers—for offenses related to employee benefit plans.</w:t>
                      </w:r>
                    </w:p>
                  </w:txbxContent>
                </v:textbox>
                <w10:wrap type="topAndBottom"/>
                <w10:anchorlock/>
              </v:shape>
            </w:pict>
          </mc:Fallback>
        </mc:AlternateContent>
      </w:r>
      <w:r w:rsidR="003532D3">
        <w:rPr>
          <w:sz w:val="24"/>
          <w:szCs w:val="24"/>
        </w:rPr>
        <w:t xml:space="preserve">On top of dealing with the disruption of an audit, employers that are found to be not in compliance with applicable requirements can be subject to penalties. The DOL assesses a </w:t>
      </w:r>
      <w:r w:rsidR="003532D3" w:rsidRPr="00B323B4">
        <w:rPr>
          <w:b/>
          <w:sz w:val="24"/>
          <w:szCs w:val="24"/>
        </w:rPr>
        <w:t>20 percent civil penalty</w:t>
      </w:r>
      <w:r w:rsidR="003532D3">
        <w:rPr>
          <w:b/>
          <w:sz w:val="24"/>
          <w:szCs w:val="24"/>
        </w:rPr>
        <w:t xml:space="preserve"> </w:t>
      </w:r>
      <w:r w:rsidR="003532D3">
        <w:rPr>
          <w:sz w:val="24"/>
          <w:szCs w:val="24"/>
        </w:rPr>
        <w:t>for breaches of fiduciary duty</w:t>
      </w:r>
      <w:r w:rsidR="003532D3" w:rsidRPr="009A658E">
        <w:rPr>
          <w:sz w:val="24"/>
          <w:szCs w:val="24"/>
        </w:rPr>
        <w:t xml:space="preserve">, and </w:t>
      </w:r>
      <w:r w:rsidR="003532D3">
        <w:rPr>
          <w:sz w:val="24"/>
          <w:szCs w:val="24"/>
        </w:rPr>
        <w:t xml:space="preserve">may bring civil litigation against fiduciaries for ERISA breaches. In extreme cases, </w:t>
      </w:r>
      <w:r w:rsidR="003532D3" w:rsidRPr="009A658E">
        <w:rPr>
          <w:sz w:val="24"/>
          <w:szCs w:val="24"/>
        </w:rPr>
        <w:t xml:space="preserve">criminal actions can </w:t>
      </w:r>
      <w:r w:rsidR="003532D3">
        <w:rPr>
          <w:sz w:val="24"/>
          <w:szCs w:val="24"/>
        </w:rPr>
        <w:t xml:space="preserve">significantly </w:t>
      </w:r>
      <w:r w:rsidR="003532D3" w:rsidRPr="009A658E">
        <w:rPr>
          <w:sz w:val="24"/>
          <w:szCs w:val="24"/>
        </w:rPr>
        <w:t xml:space="preserve">increase the overall amount of </w:t>
      </w:r>
      <w:r w:rsidR="003532D3">
        <w:rPr>
          <w:sz w:val="24"/>
          <w:szCs w:val="24"/>
        </w:rPr>
        <w:t>any penalty.</w:t>
      </w:r>
    </w:p>
    <w:p w14:paraId="7A94F321" w14:textId="77777777" w:rsidR="0001218E" w:rsidRPr="0001218E" w:rsidRDefault="0001218E" w:rsidP="0001218E">
      <w:pPr>
        <w:spacing w:after="0"/>
        <w:rPr>
          <w:sz w:val="16"/>
          <w:szCs w:val="16"/>
        </w:rPr>
      </w:pPr>
    </w:p>
    <w:p w14:paraId="3F403B70" w14:textId="77777777" w:rsidR="003532D3" w:rsidRPr="00B800BC" w:rsidRDefault="0097469B" w:rsidP="00B800BC">
      <w:pPr>
        <w:spacing w:after="0"/>
        <w:rPr>
          <w:sz w:val="4"/>
          <w:szCs w:val="4"/>
        </w:rPr>
      </w:pPr>
      <w:r>
        <w:rPr>
          <w:sz w:val="24"/>
          <w:szCs w:val="24"/>
        </w:rPr>
        <w:t>A</w:t>
      </w:r>
      <w:r w:rsidRPr="009A658E">
        <w:rPr>
          <w:sz w:val="24"/>
          <w:szCs w:val="24"/>
        </w:rPr>
        <w:t xml:space="preserve"> DOL audit can be a lengthy</w:t>
      </w:r>
      <w:r>
        <w:rPr>
          <w:sz w:val="24"/>
          <w:szCs w:val="24"/>
        </w:rPr>
        <w:t xml:space="preserve"> and time-consuming</w:t>
      </w:r>
      <w:r w:rsidRPr="009A658E">
        <w:rPr>
          <w:sz w:val="24"/>
          <w:szCs w:val="24"/>
        </w:rPr>
        <w:t xml:space="preserve"> process</w:t>
      </w:r>
      <w:r>
        <w:rPr>
          <w:sz w:val="24"/>
          <w:szCs w:val="24"/>
        </w:rPr>
        <w:t xml:space="preserve">, causing disruptions in day-to-day business operations. Thus, </w:t>
      </w:r>
      <w:r w:rsidRPr="009A658E">
        <w:rPr>
          <w:sz w:val="24"/>
          <w:szCs w:val="24"/>
        </w:rPr>
        <w:t>it is important for employers to</w:t>
      </w:r>
      <w:r>
        <w:rPr>
          <w:sz w:val="24"/>
          <w:szCs w:val="24"/>
        </w:rPr>
        <w:t xml:space="preserve"> know how to prepare for</w:t>
      </w:r>
      <w:r w:rsidRPr="009A658E">
        <w:rPr>
          <w:sz w:val="24"/>
          <w:szCs w:val="24"/>
        </w:rPr>
        <w:t xml:space="preserve">, and </w:t>
      </w:r>
      <w:r>
        <w:rPr>
          <w:sz w:val="24"/>
          <w:szCs w:val="24"/>
        </w:rPr>
        <w:t>potentially avoid</w:t>
      </w:r>
      <w:r w:rsidRPr="009A658E">
        <w:rPr>
          <w:sz w:val="24"/>
          <w:szCs w:val="24"/>
        </w:rPr>
        <w:t>, a DOL audit.</w:t>
      </w:r>
    </w:p>
    <w:p w14:paraId="1E351AAC" w14:textId="77777777" w:rsidR="003532D3" w:rsidRPr="00FC268B" w:rsidRDefault="0097469B" w:rsidP="003532D3">
      <w:pPr>
        <w:pStyle w:val="Heading1"/>
      </w:pPr>
      <w:r w:rsidRPr="00B800BC">
        <w:rPr>
          <w:sz w:val="4"/>
          <w:szCs w:val="4"/>
        </w:rPr>
        <w:br w:type="page"/>
      </w:r>
      <w:bookmarkStart w:id="18" w:name="_Toc256000006"/>
      <w:r w:rsidRPr="00FC268B">
        <w:lastRenderedPageBreak/>
        <w:t xml:space="preserve">NAVIGATING A DOL </w:t>
      </w:r>
      <w:r w:rsidRPr="00FC268B">
        <w:t>AUDIT</w:t>
      </w:r>
      <w:bookmarkEnd w:id="18"/>
    </w:p>
    <w:p w14:paraId="764CE9EF" w14:textId="77777777" w:rsidR="003532D3" w:rsidRPr="00F82915" w:rsidRDefault="0097469B" w:rsidP="003532D3">
      <w:r>
        <w:rPr>
          <w:noProof/>
        </w:rPr>
        <mc:AlternateContent>
          <mc:Choice Requires="wps">
            <w:drawing>
              <wp:anchor distT="0" distB="0" distL="114300" distR="114300" simplePos="0" relativeHeight="251678720" behindDoc="0" locked="0" layoutInCell="1" allowOverlap="1" wp14:anchorId="42C8EAE8" wp14:editId="30E89F4C">
                <wp:simplePos x="0" y="0"/>
                <wp:positionH relativeFrom="column">
                  <wp:posOffset>-7620</wp:posOffset>
                </wp:positionH>
                <wp:positionV relativeFrom="paragraph">
                  <wp:posOffset>-97155</wp:posOffset>
                </wp:positionV>
                <wp:extent cx="1546860" cy="46355"/>
                <wp:effectExtent l="1905" t="0" r="3810" b="1905"/>
                <wp:wrapNone/>
                <wp:docPr id="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46355"/>
                        </a:xfrm>
                        <a:prstGeom prst="rect">
                          <a:avLst/>
                        </a:prstGeom>
                        <a:solidFill>
                          <a:srgbClr val="548DD4"/>
                        </a:solidFill>
                        <a:ln>
                          <a:noFill/>
                        </a:ln>
                        <a:extLst>
                          <a:ext uri="{91240B29-F687-4F45-9708-019B960494DF}">
                            <a14:hiddenLine xmlns:a14="http://schemas.microsoft.com/office/drawing/2010/main" w="9525">
                              <a:solidFill>
                                <a:srgbClr val="548DD4"/>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1" o:spid="_x0000_s1034" style="width:121.8pt;height:3.65pt;margin-top:-7.65pt;margin-left:-0.6pt;mso-height-percent:0;mso-height-relative:page;mso-width-percent:0;mso-width-relative:page;mso-wrap-distance-bottom:0;mso-wrap-distance-left:9pt;mso-wrap-distance-right:9pt;mso-wrap-distance-top:0;mso-wrap-style:square;position:absolute;v-text-anchor:top;visibility:visible;z-index:251679744" fillcolor="#548dd4" stroked="f" strokecolor="#548dd4"/>
            </w:pict>
          </mc:Fallback>
        </mc:AlternateContent>
      </w:r>
      <w:r>
        <w:rPr>
          <w:noProof/>
        </w:rPr>
        <mc:AlternateContent>
          <mc:Choice Requires="wps">
            <w:drawing>
              <wp:anchor distT="0" distB="0" distL="114300" distR="114300" simplePos="0" relativeHeight="251666432" behindDoc="0" locked="0" layoutInCell="1" allowOverlap="1" wp14:anchorId="6733F85B" wp14:editId="4FCB9B6A">
                <wp:simplePos x="0" y="0"/>
                <wp:positionH relativeFrom="column">
                  <wp:posOffset>-7620</wp:posOffset>
                </wp:positionH>
                <wp:positionV relativeFrom="paragraph">
                  <wp:posOffset>-97155</wp:posOffset>
                </wp:positionV>
                <wp:extent cx="5943600" cy="0"/>
                <wp:effectExtent l="11430" t="8890" r="7620" b="10160"/>
                <wp:wrapNone/>
                <wp:docPr id="3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35" type="#_x0000_t32" style="width:468pt;height:0;margin-top:-7.65pt;margin-left:-0.6pt;mso-height-percent:0;mso-height-relative:page;mso-width-percent:0;mso-width-relative:page;mso-wrap-distance-bottom:0;mso-wrap-distance-left:9pt;mso-wrap-distance-right:9pt;mso-wrap-distance-top:0;mso-wrap-style:square;position:absolute;visibility:visible;z-index:251667456" strokecolor="#548dd4"/>
            </w:pict>
          </mc:Fallback>
        </mc:AlternateContent>
      </w:r>
    </w:p>
    <w:p w14:paraId="7FB77187" w14:textId="77777777" w:rsidR="003532D3" w:rsidRDefault="0097469B" w:rsidP="003532D3">
      <w:pPr>
        <w:rPr>
          <w:sz w:val="24"/>
          <w:szCs w:val="24"/>
        </w:rPr>
      </w:pPr>
      <w:r w:rsidRPr="00B100F4">
        <w:rPr>
          <w:sz w:val="24"/>
          <w:szCs w:val="24"/>
        </w:rPr>
        <w:t>Every year, numerous employee</w:t>
      </w:r>
      <w:r>
        <w:rPr>
          <w:sz w:val="24"/>
          <w:szCs w:val="24"/>
        </w:rPr>
        <w:t xml:space="preserve"> benefit plan fiduciaries (including plan sponsors) are selected by the DOL for audit. Knowing how the DOL audit process works will help an employer successfully respond to and navigate an audit.</w:t>
      </w:r>
    </w:p>
    <w:p w14:paraId="3B8B440D" w14:textId="77777777" w:rsidR="003532D3" w:rsidRPr="00984C93" w:rsidRDefault="0097469B" w:rsidP="003532D3">
      <w:pPr>
        <w:rPr>
          <w:rFonts w:eastAsia="MS Mincho" w:cs="Arial"/>
          <w:b/>
          <w:color w:val="548DD4"/>
          <w:sz w:val="28"/>
          <w:szCs w:val="28"/>
          <w:lang w:eastAsia="ja-JP"/>
        </w:rPr>
      </w:pPr>
      <w:r w:rsidRPr="00984C93">
        <w:rPr>
          <w:rFonts w:eastAsia="MS Mincho" w:cs="Arial"/>
          <w:b/>
          <w:color w:val="548DD4"/>
          <w:sz w:val="28"/>
          <w:szCs w:val="28"/>
          <w:lang w:eastAsia="ja-JP"/>
        </w:rPr>
        <w:t>AUDIT LETTER</w:t>
      </w:r>
    </w:p>
    <w:p w14:paraId="68BE71E0" w14:textId="77777777" w:rsidR="003532D3" w:rsidRDefault="0097469B" w:rsidP="003532D3">
      <w:pPr>
        <w:rPr>
          <w:sz w:val="24"/>
          <w:szCs w:val="24"/>
        </w:rPr>
      </w:pPr>
      <w:r>
        <w:rPr>
          <w:sz w:val="24"/>
          <w:szCs w:val="24"/>
        </w:rPr>
        <w:t>When the DOL selects an employer’s health plan for audit, the DOL will send out an investigatory letter. This letter serves to notify the employer that a DOL investigation will take place. Investigations can be in the form of a “limited review” or a full-scale investigation. Regardless of the scope, the next steps are crucial to reducing an employer’s liability and making the investigation as seamless as possible.</w:t>
      </w:r>
    </w:p>
    <w:p w14:paraId="6D237F54" w14:textId="77777777" w:rsidR="003532D3" w:rsidRPr="00984C93" w:rsidRDefault="0097469B" w:rsidP="003532D3">
      <w:pPr>
        <w:rPr>
          <w:rFonts w:eastAsia="MS Mincho" w:cs="Arial"/>
          <w:b/>
          <w:color w:val="548DD4"/>
          <w:sz w:val="28"/>
          <w:szCs w:val="28"/>
          <w:lang w:eastAsia="ja-JP"/>
        </w:rPr>
      </w:pPr>
      <w:r w:rsidRPr="00984C93">
        <w:rPr>
          <w:rFonts w:eastAsia="MS Mincho" w:cs="Arial"/>
          <w:b/>
          <w:color w:val="548DD4"/>
          <w:sz w:val="28"/>
          <w:szCs w:val="28"/>
          <w:lang w:eastAsia="ja-JP"/>
        </w:rPr>
        <w:t>DOCUMENT REQUEST</w:t>
      </w:r>
    </w:p>
    <w:p w14:paraId="05D8BB5F" w14:textId="77777777" w:rsidR="003532D3" w:rsidRDefault="0097469B" w:rsidP="003532D3">
      <w:pPr>
        <w:rPr>
          <w:sz w:val="24"/>
          <w:szCs w:val="24"/>
        </w:rPr>
      </w:pPr>
      <w:r>
        <w:rPr>
          <w:sz w:val="24"/>
          <w:szCs w:val="24"/>
        </w:rPr>
        <w:t>Generally, the initial letter from the DOL will include a request for a list of plan-related documents. Employers that receive audit letters may be surprised and overwhelmed by the number of documents requested by the DOL auditor. Although employers generally have no way of knowing whether they will be selected for an audit, it is important for them to maintain employee benefit documents in an organized fashion so they can respond to a DOL audit request in the event this occurs.</w:t>
      </w:r>
    </w:p>
    <w:p w14:paraId="6698D6BE" w14:textId="77777777" w:rsidR="003532D3" w:rsidRPr="00984C93" w:rsidRDefault="0097469B" w:rsidP="003532D3">
      <w:pPr>
        <w:rPr>
          <w:rFonts w:eastAsia="MS Mincho" w:cs="Arial"/>
          <w:b/>
          <w:color w:val="548DD4"/>
          <w:sz w:val="28"/>
          <w:szCs w:val="28"/>
          <w:lang w:eastAsia="ja-JP"/>
        </w:rPr>
      </w:pPr>
      <w:r w:rsidRPr="00984C93">
        <w:rPr>
          <w:rFonts w:eastAsia="MS Mincho" w:cs="Arial"/>
          <w:b/>
          <w:color w:val="548DD4"/>
          <w:sz w:val="28"/>
          <w:szCs w:val="28"/>
          <w:lang w:eastAsia="ja-JP"/>
        </w:rPr>
        <w:t>DEADLINES</w:t>
      </w:r>
    </w:p>
    <w:p w14:paraId="10732FD0" w14:textId="77777777" w:rsidR="003532D3" w:rsidRDefault="0097469B" w:rsidP="003532D3">
      <w:pPr>
        <w:rPr>
          <w:sz w:val="24"/>
          <w:szCs w:val="24"/>
        </w:rPr>
      </w:pPr>
      <w:r>
        <w:rPr>
          <w:sz w:val="24"/>
          <w:szCs w:val="24"/>
        </w:rPr>
        <w:t>Typically, the audit letter will request that the documents be provided by a specified date. It is critical to respond by this deadline. Inadequate or late responses could trigger additional document requests, interviews, on-site visits and even DOL enforcement actions.</w:t>
      </w:r>
    </w:p>
    <w:p w14:paraId="2DFDEA8C" w14:textId="77777777" w:rsidR="003532D3" w:rsidRPr="00984C93" w:rsidRDefault="0097469B" w:rsidP="003532D3">
      <w:pPr>
        <w:pStyle w:val="NoSpacing"/>
        <w:rPr>
          <w:color w:val="548DD4"/>
          <w:sz w:val="28"/>
          <w:szCs w:val="28"/>
        </w:rPr>
      </w:pPr>
      <w:r w:rsidRPr="00984C93">
        <w:rPr>
          <w:color w:val="548DD4"/>
          <w:sz w:val="28"/>
          <w:szCs w:val="28"/>
        </w:rPr>
        <w:t>ACTION ITEMS</w:t>
      </w:r>
    </w:p>
    <w:p w14:paraId="011BC83E" w14:textId="77777777" w:rsidR="003532D3" w:rsidRPr="00F8146F" w:rsidRDefault="0097469B" w:rsidP="003532D3">
      <w:pPr>
        <w:pStyle w:val="NoSpacing"/>
        <w:spacing w:after="200" w:line="276" w:lineRule="auto"/>
        <w:rPr>
          <w:rFonts w:eastAsia="Calibri" w:cs="Times New Roman"/>
          <w:b w:val="0"/>
          <w:szCs w:val="24"/>
          <w:lang w:eastAsia="en-US"/>
        </w:rPr>
      </w:pPr>
      <w:r w:rsidRPr="00F8146F">
        <w:rPr>
          <w:rFonts w:eastAsia="Calibri" w:cs="Times New Roman"/>
          <w:b w:val="0"/>
          <w:szCs w:val="24"/>
          <w:lang w:eastAsia="en-US"/>
        </w:rPr>
        <w:t>Once an employer knows that it’s being audited by the DOL, there are a number of things it can do to prepare for the investigation</w:t>
      </w:r>
      <w:r>
        <w:rPr>
          <w:rFonts w:eastAsia="Calibri" w:cs="Times New Roman"/>
          <w:b w:val="0"/>
          <w:szCs w:val="24"/>
          <w:lang w:eastAsia="en-US"/>
        </w:rPr>
        <w:t>:</w:t>
      </w:r>
    </w:p>
    <w:p w14:paraId="21DD9BA9" w14:textId="77777777" w:rsidR="003532D3" w:rsidRDefault="0097469B" w:rsidP="003532D3">
      <w:pPr>
        <w:pStyle w:val="ListParagraph"/>
        <w:numPr>
          <w:ilvl w:val="0"/>
          <w:numId w:val="6"/>
        </w:numPr>
        <w:ind w:left="1080"/>
        <w:contextualSpacing w:val="0"/>
        <w:rPr>
          <w:sz w:val="24"/>
          <w:szCs w:val="24"/>
        </w:rPr>
      </w:pPr>
      <w:r>
        <w:rPr>
          <w:sz w:val="24"/>
          <w:szCs w:val="24"/>
        </w:rPr>
        <w:t>Establish a contact person at the company for the investigation</w:t>
      </w:r>
    </w:p>
    <w:p w14:paraId="4DA97185" w14:textId="77777777" w:rsidR="003532D3" w:rsidRDefault="0097469B" w:rsidP="003532D3">
      <w:pPr>
        <w:pStyle w:val="ListParagraph"/>
        <w:numPr>
          <w:ilvl w:val="0"/>
          <w:numId w:val="6"/>
        </w:numPr>
        <w:ind w:left="1080"/>
        <w:contextualSpacing w:val="0"/>
        <w:rPr>
          <w:sz w:val="24"/>
          <w:szCs w:val="24"/>
        </w:rPr>
      </w:pPr>
      <w:r>
        <w:rPr>
          <w:sz w:val="24"/>
          <w:szCs w:val="24"/>
        </w:rPr>
        <w:t>If desired, secure legal counsel for assistance with the audit process</w:t>
      </w:r>
    </w:p>
    <w:p w14:paraId="7874D976" w14:textId="77777777" w:rsidR="003532D3" w:rsidRDefault="0097469B" w:rsidP="003532D3">
      <w:pPr>
        <w:pStyle w:val="ListParagraph"/>
        <w:numPr>
          <w:ilvl w:val="0"/>
          <w:numId w:val="6"/>
        </w:numPr>
        <w:ind w:left="1080"/>
        <w:contextualSpacing w:val="0"/>
        <w:rPr>
          <w:sz w:val="24"/>
          <w:szCs w:val="24"/>
        </w:rPr>
      </w:pPr>
      <w:r>
        <w:rPr>
          <w:sz w:val="24"/>
          <w:szCs w:val="24"/>
        </w:rPr>
        <w:lastRenderedPageBreak/>
        <w:t>Negotiate or clarify the scope of the document request and, if necessary, ask for an extension to the response deadline</w:t>
      </w:r>
    </w:p>
    <w:p w14:paraId="35C779CE" w14:textId="77777777" w:rsidR="003532D3" w:rsidRDefault="0097469B" w:rsidP="003532D3">
      <w:pPr>
        <w:pStyle w:val="ListParagraph"/>
        <w:numPr>
          <w:ilvl w:val="0"/>
          <w:numId w:val="6"/>
        </w:numPr>
        <w:ind w:left="1080"/>
        <w:contextualSpacing w:val="0"/>
        <w:rPr>
          <w:sz w:val="24"/>
          <w:szCs w:val="24"/>
        </w:rPr>
      </w:pPr>
      <w:r w:rsidRPr="008A533E">
        <w:rPr>
          <w:sz w:val="24"/>
          <w:szCs w:val="24"/>
        </w:rPr>
        <w:t>Make copies of all the requested documents for the DOL and review them for accuracy</w:t>
      </w:r>
    </w:p>
    <w:p w14:paraId="4098AA14" w14:textId="77777777" w:rsidR="003532D3" w:rsidRPr="008A533E" w:rsidRDefault="0097469B" w:rsidP="003532D3">
      <w:pPr>
        <w:pStyle w:val="ListParagraph"/>
        <w:numPr>
          <w:ilvl w:val="0"/>
          <w:numId w:val="6"/>
        </w:numPr>
        <w:ind w:left="1080"/>
        <w:contextualSpacing w:val="0"/>
        <w:rPr>
          <w:sz w:val="24"/>
          <w:szCs w:val="24"/>
        </w:rPr>
      </w:pPr>
      <w:r w:rsidRPr="008A533E">
        <w:rPr>
          <w:sz w:val="24"/>
          <w:szCs w:val="24"/>
        </w:rPr>
        <w:t>If a discrepancy is found while compiling the documents, consider providing an explanation</w:t>
      </w:r>
    </w:p>
    <w:p w14:paraId="3BC19DBA" w14:textId="77777777" w:rsidR="003532D3" w:rsidRDefault="0097469B" w:rsidP="003532D3">
      <w:pPr>
        <w:pStyle w:val="ListParagraph"/>
        <w:numPr>
          <w:ilvl w:val="0"/>
          <w:numId w:val="6"/>
        </w:numPr>
        <w:ind w:left="1080"/>
        <w:contextualSpacing w:val="0"/>
        <w:rPr>
          <w:sz w:val="24"/>
          <w:szCs w:val="24"/>
        </w:rPr>
      </w:pPr>
      <w:r>
        <w:rPr>
          <w:sz w:val="24"/>
          <w:szCs w:val="24"/>
        </w:rPr>
        <w:t>Prepare your staff for on-site visits and interviews</w:t>
      </w:r>
    </w:p>
    <w:p w14:paraId="0DCCC7F5" w14:textId="77777777" w:rsidR="003532D3" w:rsidRPr="00FC268B" w:rsidRDefault="0097469B" w:rsidP="003532D3">
      <w:pPr>
        <w:pStyle w:val="Heading1"/>
      </w:pPr>
      <w:r>
        <w:br w:type="page"/>
      </w:r>
      <w:bookmarkStart w:id="19" w:name="_Toc356816516"/>
      <w:r w:rsidR="0003221A">
        <w:rPr>
          <w:noProof/>
        </w:rPr>
        <w:lastRenderedPageBreak/>
        <mc:AlternateContent>
          <mc:Choice Requires="wps">
            <w:drawing>
              <wp:anchor distT="0" distB="0" distL="114300" distR="114300" simplePos="0" relativeHeight="251680768" behindDoc="0" locked="0" layoutInCell="1" allowOverlap="1" wp14:anchorId="511621F9" wp14:editId="59223FF2">
                <wp:simplePos x="0" y="0"/>
                <wp:positionH relativeFrom="column">
                  <wp:posOffset>1270</wp:posOffset>
                </wp:positionH>
                <wp:positionV relativeFrom="paragraph">
                  <wp:posOffset>313055</wp:posOffset>
                </wp:positionV>
                <wp:extent cx="1546860" cy="46355"/>
                <wp:effectExtent l="1270" t="0" r="4445" b="2540"/>
                <wp:wrapNone/>
                <wp:docPr id="3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46355"/>
                        </a:xfrm>
                        <a:prstGeom prst="rect">
                          <a:avLst/>
                        </a:prstGeom>
                        <a:solidFill>
                          <a:srgbClr val="548DD4"/>
                        </a:solidFill>
                        <a:ln>
                          <a:noFill/>
                        </a:ln>
                        <a:extLst>
                          <a:ext uri="{91240B29-F687-4F45-9708-019B960494DF}">
                            <a14:hiddenLine xmlns:a14="http://schemas.microsoft.com/office/drawing/2010/main" w="9525">
                              <a:solidFill>
                                <a:srgbClr val="548DD4"/>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3" o:spid="_x0000_s1036" style="width:121.8pt;height:3.65pt;margin-top:24.65pt;margin-left:0.1pt;mso-height-percent:0;mso-height-relative:page;mso-width-percent:0;mso-width-relative:page;mso-wrap-distance-bottom:0;mso-wrap-distance-left:9pt;mso-wrap-distance-right:9pt;mso-wrap-distance-top:0;mso-wrap-style:square;position:absolute;v-text-anchor:top;visibility:visible;z-index:251681792" fillcolor="#548dd4" stroked="f" strokecolor="#548dd4"/>
            </w:pict>
          </mc:Fallback>
        </mc:AlternateContent>
      </w:r>
      <w:r w:rsidR="0003221A">
        <w:rPr>
          <w:noProof/>
        </w:rPr>
        <mc:AlternateContent>
          <mc:Choice Requires="wps">
            <w:drawing>
              <wp:anchor distT="0" distB="0" distL="114300" distR="114300" simplePos="0" relativeHeight="251668480" behindDoc="0" locked="0" layoutInCell="1" allowOverlap="1" wp14:anchorId="11FC15BC" wp14:editId="0EDA9994">
                <wp:simplePos x="0" y="0"/>
                <wp:positionH relativeFrom="column">
                  <wp:posOffset>1270</wp:posOffset>
                </wp:positionH>
                <wp:positionV relativeFrom="paragraph">
                  <wp:posOffset>313055</wp:posOffset>
                </wp:positionV>
                <wp:extent cx="5943600" cy="0"/>
                <wp:effectExtent l="10795" t="8255" r="8255" b="10795"/>
                <wp:wrapNone/>
                <wp:docPr id="30"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37" type="#_x0000_t32" style="width:468pt;height:0;margin-top:24.65pt;margin-left:0.1pt;mso-height-percent:0;mso-height-relative:page;mso-width-percent:0;mso-width-relative:page;mso-wrap-distance-bottom:0;mso-wrap-distance-left:9pt;mso-wrap-distance-right:9pt;mso-wrap-distance-top:0;mso-wrap-style:square;position:absolute;visibility:visible;z-index:251669504" strokecolor="#548dd4"/>
            </w:pict>
          </mc:Fallback>
        </mc:AlternateContent>
      </w:r>
      <w:bookmarkStart w:id="20" w:name="_Toc256000007"/>
      <w:r w:rsidRPr="00FC268B">
        <w:t>CHECKLIST OF REQUESTED DOCUMENTS</w:t>
      </w:r>
      <w:bookmarkEnd w:id="20"/>
      <w:bookmarkEnd w:id="19"/>
    </w:p>
    <w:p w14:paraId="041FBE40" w14:textId="77777777" w:rsidR="003532D3" w:rsidRPr="00330CB9" w:rsidRDefault="003532D3" w:rsidP="003532D3">
      <w:pPr>
        <w:pStyle w:val="ListParagraph"/>
        <w:ind w:left="0"/>
        <w:rPr>
          <w:sz w:val="20"/>
          <w:szCs w:val="20"/>
        </w:rPr>
      </w:pPr>
    </w:p>
    <w:p w14:paraId="50D25239" w14:textId="77777777" w:rsidR="003532D3" w:rsidRDefault="0097469B" w:rsidP="003532D3">
      <w:pPr>
        <w:pStyle w:val="NoSpacing"/>
        <w:spacing w:after="200" w:line="276" w:lineRule="auto"/>
        <w:rPr>
          <w:b w:val="0"/>
        </w:rPr>
      </w:pPr>
      <w:r>
        <w:rPr>
          <w:b w:val="0"/>
        </w:rPr>
        <w:t xml:space="preserve">This checklist includes documents that are commonly requested by the DOL during an audit of an employer’s health plan. In addition to maintaining these </w:t>
      </w:r>
      <w:r>
        <w:rPr>
          <w:b w:val="0"/>
        </w:rPr>
        <w:t>documents in an easily accessible location, employers should keep records showing that participant notices and other required disclosures are provided in a timely fashion.</w:t>
      </w:r>
    </w:p>
    <w:p w14:paraId="2FA93EA8" w14:textId="77777777" w:rsidR="003532D3" w:rsidRDefault="0097469B" w:rsidP="003532D3">
      <w:pPr>
        <w:pStyle w:val="NoSpacing"/>
        <w:spacing w:after="200" w:line="276" w:lineRule="auto"/>
        <w:rPr>
          <w:b w:val="0"/>
        </w:rPr>
      </w:pPr>
      <w:r>
        <w:rPr>
          <w:b w:val="0"/>
        </w:rPr>
        <w:t xml:space="preserve">As health plan sponsors, employers should ideally confirm that they maintain these documents and </w:t>
      </w:r>
      <w:r w:rsidR="00BA1FDF">
        <w:rPr>
          <w:b w:val="0"/>
        </w:rPr>
        <w:t>records and</w:t>
      </w:r>
      <w:r>
        <w:rPr>
          <w:b w:val="0"/>
        </w:rPr>
        <w:t xml:space="preserve"> should not create them in response to a DOL audit letter. The “Sample Documents” section of this guide contains some model documents that health plan sponsors may use. Contact InterWest Insurance Services, LLC for help in gathering other compliance documents.</w:t>
      </w:r>
    </w:p>
    <w:p w14:paraId="0AD586BB" w14:textId="77777777" w:rsidR="003532D3" w:rsidRPr="00A53C9C" w:rsidRDefault="0097469B" w:rsidP="003532D3">
      <w:pPr>
        <w:pStyle w:val="NoSpacing"/>
        <w:spacing w:after="200" w:line="276" w:lineRule="auto"/>
        <w:rPr>
          <w:b w:val="0"/>
        </w:rPr>
      </w:pPr>
      <w:r>
        <w:rPr>
          <w:b w:val="0"/>
        </w:rPr>
        <w:t>Also, keep in mind that, during an audit, the DOL may request fewer documents or an employer may be subject to a more expansive document request, depending on the scope of the audit.</w:t>
      </w:r>
    </w:p>
    <w:tbl>
      <w:tblPr>
        <w:tblpPr w:leftFromText="180" w:rightFromText="180" w:vertAnchor="text" w:horzAnchor="margin" w:tblpXSpec="center" w:tblpY="217"/>
        <w:tblOverlap w:val="never"/>
        <w:tblW w:w="0" w:type="auto"/>
        <w:tblBorders>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6929"/>
        <w:gridCol w:w="2421"/>
      </w:tblGrid>
      <w:tr w:rsidR="003A674C" w14:paraId="63C28354" w14:textId="77777777" w:rsidTr="00015216">
        <w:trPr>
          <w:trHeight w:val="709"/>
          <w:tblHeader/>
        </w:trPr>
        <w:tc>
          <w:tcPr>
            <w:tcW w:w="6929" w:type="dxa"/>
            <w:shd w:val="clear" w:color="auto" w:fill="548DD4"/>
            <w:vAlign w:val="center"/>
          </w:tcPr>
          <w:p w14:paraId="3C9E634A" w14:textId="77777777" w:rsidR="003532D3" w:rsidRPr="00D72E04" w:rsidRDefault="0097469B" w:rsidP="003532D3">
            <w:pPr>
              <w:pStyle w:val="ListParagraph"/>
              <w:spacing w:before="120" w:after="120" w:line="240" w:lineRule="auto"/>
              <w:ind w:left="0"/>
              <w:jc w:val="center"/>
              <w:rPr>
                <w:b/>
                <w:color w:val="FFFFFF"/>
                <w:sz w:val="24"/>
                <w:szCs w:val="24"/>
              </w:rPr>
            </w:pPr>
            <w:r w:rsidRPr="00D72E04">
              <w:rPr>
                <w:b/>
                <w:color w:val="FFFFFF"/>
                <w:sz w:val="24"/>
                <w:szCs w:val="24"/>
              </w:rPr>
              <w:t>Type of Document</w:t>
            </w:r>
          </w:p>
        </w:tc>
        <w:tc>
          <w:tcPr>
            <w:tcW w:w="2421" w:type="dxa"/>
            <w:shd w:val="clear" w:color="auto" w:fill="548DD4"/>
          </w:tcPr>
          <w:p w14:paraId="2353DFEE" w14:textId="77777777" w:rsidR="003532D3" w:rsidRPr="00D72E04" w:rsidRDefault="0097469B" w:rsidP="003532D3">
            <w:pPr>
              <w:pStyle w:val="ListParagraph"/>
              <w:spacing w:before="120" w:after="120" w:line="240" w:lineRule="auto"/>
              <w:ind w:left="360"/>
              <w:jc w:val="center"/>
              <w:rPr>
                <w:b/>
                <w:color w:val="FFFFFF"/>
                <w:sz w:val="24"/>
                <w:szCs w:val="24"/>
              </w:rPr>
            </w:pPr>
            <w:r w:rsidRPr="00D72E04">
              <w:rPr>
                <w:b/>
                <w:color w:val="FFFFFF"/>
                <w:sz w:val="24"/>
                <w:szCs w:val="24"/>
              </w:rPr>
              <w:t>Maintained by Employer</w:t>
            </w:r>
          </w:p>
        </w:tc>
      </w:tr>
      <w:tr w:rsidR="003A674C" w14:paraId="34586D5C" w14:textId="77777777" w:rsidTr="00015216">
        <w:trPr>
          <w:trHeight w:val="709"/>
        </w:trPr>
        <w:tc>
          <w:tcPr>
            <w:tcW w:w="6929" w:type="dxa"/>
            <w:shd w:val="clear" w:color="auto" w:fill="F1F5F9"/>
            <w:vAlign w:val="center"/>
          </w:tcPr>
          <w:p w14:paraId="38350D80" w14:textId="77777777" w:rsidR="003532D3" w:rsidRPr="00934E9A" w:rsidRDefault="0097469B" w:rsidP="003532D3">
            <w:pPr>
              <w:pStyle w:val="ListParagraph"/>
              <w:spacing w:after="0"/>
              <w:ind w:left="0"/>
              <w:rPr>
                <w:sz w:val="24"/>
                <w:szCs w:val="24"/>
              </w:rPr>
            </w:pPr>
            <w:r>
              <w:rPr>
                <w:sz w:val="24"/>
                <w:szCs w:val="24"/>
              </w:rPr>
              <w:t>Plan d</w:t>
            </w:r>
            <w:r w:rsidRPr="00934E9A">
              <w:rPr>
                <w:sz w:val="24"/>
                <w:szCs w:val="24"/>
              </w:rPr>
              <w:t>ocument</w:t>
            </w:r>
            <w:r>
              <w:rPr>
                <w:sz w:val="24"/>
                <w:szCs w:val="24"/>
              </w:rPr>
              <w:t xml:space="preserve"> (or insurance booklet/certificate for an insured plan)</w:t>
            </w:r>
          </w:p>
        </w:tc>
        <w:tc>
          <w:tcPr>
            <w:tcW w:w="2421" w:type="dxa"/>
            <w:shd w:val="clear" w:color="auto" w:fill="F1F5F9"/>
          </w:tcPr>
          <w:p w14:paraId="6653B520" w14:textId="77777777" w:rsidR="003532D3" w:rsidRPr="00934E9A" w:rsidRDefault="0097469B" w:rsidP="003532D3">
            <w:pPr>
              <w:pStyle w:val="ListParagraph"/>
              <w:spacing w:before="120"/>
              <w:ind w:left="1080"/>
              <w:jc w:val="center"/>
              <w:rPr>
                <w:sz w:val="24"/>
                <w:szCs w:val="24"/>
              </w:rPr>
            </w:pPr>
            <w:r>
              <w:rPr>
                <w:noProof/>
                <w:sz w:val="24"/>
                <w:szCs w:val="24"/>
              </w:rPr>
              <mc:AlternateContent>
                <mc:Choice Requires="wps">
                  <w:drawing>
                    <wp:anchor distT="0" distB="0" distL="114300" distR="114300" simplePos="0" relativeHeight="251705344" behindDoc="0" locked="0" layoutInCell="1" allowOverlap="1" wp14:anchorId="734272CB" wp14:editId="573AC025">
                      <wp:simplePos x="0" y="0"/>
                      <wp:positionH relativeFrom="column">
                        <wp:posOffset>629285</wp:posOffset>
                      </wp:positionH>
                      <wp:positionV relativeFrom="paragraph">
                        <wp:posOffset>156210</wp:posOffset>
                      </wp:positionV>
                      <wp:extent cx="186055" cy="194945"/>
                      <wp:effectExtent l="15875" t="9525" r="17145" b="14605"/>
                      <wp:wrapNone/>
                      <wp:docPr id="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5" o:spid="_x0000_s1038" style="width:14.65pt;height:15.35pt;margin-top:12.3pt;margin-left:49.55pt;mso-height-percent:0;mso-height-relative:page;mso-width-percent:0;mso-width-relative:page;mso-wrap-distance-bottom:0;mso-wrap-distance-left:9pt;mso-wrap-distance-right:9pt;mso-wrap-distance-top:0;mso-wrap-style:square;position:absolute;v-text-anchor:top;visibility:visible;z-index:251706368" strokeweight="1.5pt"/>
                  </w:pict>
                </mc:Fallback>
              </mc:AlternateContent>
            </w:r>
          </w:p>
        </w:tc>
      </w:tr>
      <w:tr w:rsidR="003A674C" w14:paraId="23760695" w14:textId="77777777" w:rsidTr="00015216">
        <w:trPr>
          <w:trHeight w:val="860"/>
        </w:trPr>
        <w:tc>
          <w:tcPr>
            <w:tcW w:w="6929" w:type="dxa"/>
            <w:shd w:val="clear" w:color="auto" w:fill="F1F5F9"/>
            <w:vAlign w:val="center"/>
          </w:tcPr>
          <w:p w14:paraId="3F682901" w14:textId="77777777" w:rsidR="003532D3" w:rsidRPr="00934E9A" w:rsidRDefault="0097469B" w:rsidP="003532D3">
            <w:pPr>
              <w:pStyle w:val="ListParagraph"/>
              <w:spacing w:after="0"/>
              <w:ind w:left="0"/>
              <w:rPr>
                <w:sz w:val="24"/>
                <w:szCs w:val="24"/>
              </w:rPr>
            </w:pPr>
            <w:r>
              <w:rPr>
                <w:sz w:val="24"/>
                <w:szCs w:val="24"/>
              </w:rPr>
              <w:t>Summary plan description (SPD), including updates or summaries of material modifications (SMMs)</w:t>
            </w:r>
          </w:p>
        </w:tc>
        <w:tc>
          <w:tcPr>
            <w:tcW w:w="2421" w:type="dxa"/>
            <w:shd w:val="clear" w:color="auto" w:fill="F1F5F9"/>
          </w:tcPr>
          <w:p w14:paraId="19F9E940" w14:textId="77777777" w:rsidR="003532D3" w:rsidRPr="00934E9A" w:rsidRDefault="0097469B" w:rsidP="003532D3">
            <w:pPr>
              <w:pStyle w:val="ListParagraph"/>
              <w:ind w:left="0"/>
              <w:rPr>
                <w:sz w:val="24"/>
                <w:szCs w:val="24"/>
              </w:rPr>
            </w:pPr>
            <w:r>
              <w:rPr>
                <w:noProof/>
                <w:sz w:val="24"/>
                <w:szCs w:val="24"/>
              </w:rPr>
              <mc:AlternateContent>
                <mc:Choice Requires="wps">
                  <w:drawing>
                    <wp:anchor distT="0" distB="0" distL="114300" distR="114300" simplePos="0" relativeHeight="251691008" behindDoc="0" locked="0" layoutInCell="1" allowOverlap="1" wp14:anchorId="03EA2296" wp14:editId="483D917C">
                      <wp:simplePos x="0" y="0"/>
                      <wp:positionH relativeFrom="column">
                        <wp:posOffset>629285</wp:posOffset>
                      </wp:positionH>
                      <wp:positionV relativeFrom="paragraph">
                        <wp:posOffset>141605</wp:posOffset>
                      </wp:positionV>
                      <wp:extent cx="186055" cy="194945"/>
                      <wp:effectExtent l="15875" t="13335" r="17145" b="10795"/>
                      <wp:wrapNone/>
                      <wp:docPr id="2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6" o:spid="_x0000_s1039" style="width:14.65pt;height:15.35pt;margin-top:11.15pt;margin-left:49.55pt;mso-height-percent:0;mso-height-relative:page;mso-width-percent:0;mso-width-relative:page;mso-wrap-distance-bottom:0;mso-wrap-distance-left:9pt;mso-wrap-distance-right:9pt;mso-wrap-distance-top:0;mso-wrap-style:square;position:absolute;v-text-anchor:top;visibility:visible;z-index:251692032" strokeweight="1.5pt"/>
                  </w:pict>
                </mc:Fallback>
              </mc:AlternateContent>
            </w:r>
          </w:p>
        </w:tc>
      </w:tr>
      <w:tr w:rsidR="003A674C" w14:paraId="66FDC814" w14:textId="77777777" w:rsidTr="00015216">
        <w:trPr>
          <w:trHeight w:val="687"/>
        </w:trPr>
        <w:tc>
          <w:tcPr>
            <w:tcW w:w="6929" w:type="dxa"/>
            <w:shd w:val="clear" w:color="auto" w:fill="F1F5F9"/>
            <w:vAlign w:val="center"/>
          </w:tcPr>
          <w:p w14:paraId="01E73CCD" w14:textId="77777777" w:rsidR="003532D3" w:rsidRDefault="0097469B" w:rsidP="003532D3">
            <w:pPr>
              <w:pStyle w:val="ListParagraph"/>
              <w:spacing w:after="0"/>
              <w:ind w:left="0"/>
              <w:rPr>
                <w:sz w:val="24"/>
                <w:szCs w:val="24"/>
              </w:rPr>
            </w:pPr>
            <w:r>
              <w:rPr>
                <w:sz w:val="24"/>
                <w:szCs w:val="24"/>
              </w:rPr>
              <w:t xml:space="preserve">Forms 5500 and attachments, including supporting documentation (if </w:t>
            </w:r>
            <w:r>
              <w:rPr>
                <w:sz w:val="24"/>
                <w:szCs w:val="24"/>
              </w:rPr>
              <w:t>applicable)</w:t>
            </w:r>
          </w:p>
        </w:tc>
        <w:tc>
          <w:tcPr>
            <w:tcW w:w="2421" w:type="dxa"/>
            <w:shd w:val="clear" w:color="auto" w:fill="F1F5F9"/>
          </w:tcPr>
          <w:p w14:paraId="1F144091" w14:textId="77777777" w:rsidR="003532D3" w:rsidRPr="00934E9A" w:rsidRDefault="0097469B" w:rsidP="003532D3">
            <w:pPr>
              <w:pStyle w:val="ListParagraph"/>
              <w:ind w:left="0"/>
              <w:rPr>
                <w:sz w:val="24"/>
                <w:szCs w:val="24"/>
              </w:rPr>
            </w:pPr>
            <w:r>
              <w:rPr>
                <w:noProof/>
                <w:sz w:val="24"/>
                <w:szCs w:val="24"/>
              </w:rPr>
              <mc:AlternateContent>
                <mc:Choice Requires="wps">
                  <w:drawing>
                    <wp:anchor distT="0" distB="0" distL="114300" distR="114300" simplePos="0" relativeHeight="251693056" behindDoc="0" locked="0" layoutInCell="1" allowOverlap="1" wp14:anchorId="7D031656" wp14:editId="7A7CEEB4">
                      <wp:simplePos x="0" y="0"/>
                      <wp:positionH relativeFrom="column">
                        <wp:posOffset>629285</wp:posOffset>
                      </wp:positionH>
                      <wp:positionV relativeFrom="paragraph">
                        <wp:posOffset>148590</wp:posOffset>
                      </wp:positionV>
                      <wp:extent cx="186055" cy="194945"/>
                      <wp:effectExtent l="15875" t="10795" r="17145" b="13335"/>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7" o:spid="_x0000_s1040" style="width:14.65pt;height:15.35pt;margin-top:11.7pt;margin-left:49.55pt;mso-height-percent:0;mso-height-relative:page;mso-width-percent:0;mso-width-relative:page;mso-wrap-distance-bottom:0;mso-wrap-distance-left:9pt;mso-wrap-distance-right:9pt;mso-wrap-distance-top:0;mso-wrap-style:square;position:absolute;v-text-anchor:top;visibility:visible;z-index:251694080" strokeweight="1.5pt"/>
                  </w:pict>
                </mc:Fallback>
              </mc:AlternateContent>
            </w:r>
          </w:p>
        </w:tc>
      </w:tr>
      <w:tr w:rsidR="003A674C" w14:paraId="1AEA7CF5" w14:textId="77777777" w:rsidTr="00015216">
        <w:trPr>
          <w:trHeight w:val="666"/>
        </w:trPr>
        <w:tc>
          <w:tcPr>
            <w:tcW w:w="6929" w:type="dxa"/>
            <w:shd w:val="clear" w:color="auto" w:fill="F1F5F9"/>
            <w:vAlign w:val="center"/>
          </w:tcPr>
          <w:p w14:paraId="30F18A19" w14:textId="77777777" w:rsidR="003532D3" w:rsidRPr="00934E9A" w:rsidRDefault="0097469B" w:rsidP="003532D3">
            <w:pPr>
              <w:pStyle w:val="ListParagraph"/>
              <w:spacing w:after="0"/>
              <w:ind w:left="0"/>
              <w:rPr>
                <w:sz w:val="24"/>
                <w:szCs w:val="24"/>
              </w:rPr>
            </w:pPr>
            <w:r>
              <w:rPr>
                <w:sz w:val="24"/>
                <w:szCs w:val="24"/>
              </w:rPr>
              <w:t>Summary a</w:t>
            </w:r>
            <w:r w:rsidRPr="00934E9A">
              <w:rPr>
                <w:sz w:val="24"/>
                <w:szCs w:val="24"/>
              </w:rPr>
              <w:t>nnu</w:t>
            </w:r>
            <w:r>
              <w:rPr>
                <w:sz w:val="24"/>
                <w:szCs w:val="24"/>
              </w:rPr>
              <w:t>al reports (if required for plan</w:t>
            </w:r>
            <w:r w:rsidRPr="00934E9A">
              <w:rPr>
                <w:sz w:val="24"/>
                <w:szCs w:val="24"/>
              </w:rPr>
              <w:t>)</w:t>
            </w:r>
          </w:p>
        </w:tc>
        <w:tc>
          <w:tcPr>
            <w:tcW w:w="2421" w:type="dxa"/>
            <w:shd w:val="clear" w:color="auto" w:fill="F1F5F9"/>
          </w:tcPr>
          <w:p w14:paraId="3D4BAAF6" w14:textId="77777777" w:rsidR="003532D3" w:rsidRPr="00934E9A" w:rsidRDefault="0097469B" w:rsidP="003532D3">
            <w:pPr>
              <w:pStyle w:val="ListParagraph"/>
              <w:ind w:left="0"/>
              <w:rPr>
                <w:sz w:val="24"/>
                <w:szCs w:val="24"/>
              </w:rPr>
            </w:pPr>
            <w:r>
              <w:rPr>
                <w:noProof/>
                <w:sz w:val="24"/>
                <w:szCs w:val="24"/>
              </w:rPr>
              <mc:AlternateContent>
                <mc:Choice Requires="wps">
                  <w:drawing>
                    <wp:anchor distT="0" distB="0" distL="114300" distR="114300" simplePos="0" relativeHeight="251695104" behindDoc="0" locked="0" layoutInCell="1" allowOverlap="1" wp14:anchorId="25DE6D32" wp14:editId="610FF01A">
                      <wp:simplePos x="0" y="0"/>
                      <wp:positionH relativeFrom="column">
                        <wp:posOffset>629285</wp:posOffset>
                      </wp:positionH>
                      <wp:positionV relativeFrom="paragraph">
                        <wp:posOffset>137795</wp:posOffset>
                      </wp:positionV>
                      <wp:extent cx="186055" cy="194945"/>
                      <wp:effectExtent l="15875" t="13970" r="17145" b="10160"/>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8" o:spid="_x0000_s1041" style="width:14.65pt;height:15.35pt;margin-top:10.85pt;margin-left:49.55pt;mso-height-percent:0;mso-height-relative:page;mso-width-percent:0;mso-width-relative:page;mso-wrap-distance-bottom:0;mso-wrap-distance-left:9pt;mso-wrap-distance-right:9pt;mso-wrap-distance-top:0;mso-wrap-style:square;position:absolute;v-text-anchor:top;visibility:visible;z-index:251696128" strokeweight="1.5pt"/>
                  </w:pict>
                </mc:Fallback>
              </mc:AlternateContent>
            </w:r>
          </w:p>
        </w:tc>
      </w:tr>
      <w:tr w:rsidR="003A674C" w14:paraId="1309ABC7" w14:textId="77777777" w:rsidTr="00015216">
        <w:trPr>
          <w:trHeight w:val="687"/>
        </w:trPr>
        <w:tc>
          <w:tcPr>
            <w:tcW w:w="6929" w:type="dxa"/>
            <w:shd w:val="clear" w:color="auto" w:fill="F1F5F9"/>
            <w:vAlign w:val="center"/>
          </w:tcPr>
          <w:p w14:paraId="30C87176" w14:textId="77777777" w:rsidR="003532D3" w:rsidRPr="00934E9A" w:rsidRDefault="0097469B" w:rsidP="003532D3">
            <w:pPr>
              <w:pStyle w:val="ListParagraph"/>
              <w:spacing w:after="0"/>
              <w:ind w:left="0"/>
              <w:rPr>
                <w:sz w:val="24"/>
                <w:szCs w:val="24"/>
              </w:rPr>
            </w:pPr>
            <w:r w:rsidRPr="00934E9A">
              <w:rPr>
                <w:sz w:val="24"/>
                <w:szCs w:val="24"/>
              </w:rPr>
              <w:t xml:space="preserve">List of all </w:t>
            </w:r>
            <w:r>
              <w:rPr>
                <w:sz w:val="24"/>
                <w:szCs w:val="24"/>
              </w:rPr>
              <w:t xml:space="preserve">plan </w:t>
            </w:r>
            <w:r w:rsidRPr="00934E9A">
              <w:rPr>
                <w:sz w:val="24"/>
                <w:szCs w:val="24"/>
              </w:rPr>
              <w:t xml:space="preserve">service providers </w:t>
            </w:r>
            <w:r>
              <w:rPr>
                <w:sz w:val="24"/>
                <w:szCs w:val="24"/>
              </w:rPr>
              <w:t>and related contracts</w:t>
            </w:r>
          </w:p>
        </w:tc>
        <w:tc>
          <w:tcPr>
            <w:tcW w:w="2421" w:type="dxa"/>
            <w:shd w:val="clear" w:color="auto" w:fill="F1F5F9"/>
          </w:tcPr>
          <w:p w14:paraId="14B58706" w14:textId="77777777" w:rsidR="003532D3" w:rsidRPr="00934E9A" w:rsidRDefault="0097469B" w:rsidP="003532D3">
            <w:pPr>
              <w:pStyle w:val="ListParagraph"/>
              <w:ind w:left="0"/>
              <w:rPr>
                <w:sz w:val="24"/>
                <w:szCs w:val="24"/>
              </w:rPr>
            </w:pPr>
            <w:r>
              <w:rPr>
                <w:noProof/>
                <w:sz w:val="24"/>
                <w:szCs w:val="24"/>
              </w:rPr>
              <mc:AlternateContent>
                <mc:Choice Requires="wps">
                  <w:drawing>
                    <wp:anchor distT="0" distB="0" distL="114300" distR="114300" simplePos="0" relativeHeight="251697152" behindDoc="0" locked="0" layoutInCell="1" allowOverlap="1" wp14:anchorId="3B7B0696" wp14:editId="79B88CF8">
                      <wp:simplePos x="0" y="0"/>
                      <wp:positionH relativeFrom="column">
                        <wp:posOffset>629285</wp:posOffset>
                      </wp:positionH>
                      <wp:positionV relativeFrom="paragraph">
                        <wp:posOffset>123190</wp:posOffset>
                      </wp:positionV>
                      <wp:extent cx="186055" cy="194945"/>
                      <wp:effectExtent l="15875" t="9525" r="17145" b="14605"/>
                      <wp:wrapNone/>
                      <wp:docPr id="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19" o:spid="_x0000_s1042" style="width:14.65pt;height:15.35pt;margin-top:9.7pt;margin-left:49.55pt;mso-height-percent:0;mso-height-relative:page;mso-width-percent:0;mso-width-relative:page;mso-wrap-distance-bottom:0;mso-wrap-distance-left:9pt;mso-wrap-distance-right:9pt;mso-wrap-distance-top:0;mso-wrap-style:square;position:absolute;v-text-anchor:top;visibility:visible;z-index:251698176" strokeweight="1.5pt"/>
                  </w:pict>
                </mc:Fallback>
              </mc:AlternateContent>
            </w:r>
          </w:p>
        </w:tc>
      </w:tr>
      <w:tr w:rsidR="003A674C" w14:paraId="0DCA7626" w14:textId="77777777" w:rsidTr="00015216">
        <w:trPr>
          <w:trHeight w:val="687"/>
        </w:trPr>
        <w:tc>
          <w:tcPr>
            <w:tcW w:w="6929" w:type="dxa"/>
            <w:shd w:val="clear" w:color="auto" w:fill="F1F5F9"/>
            <w:vAlign w:val="center"/>
          </w:tcPr>
          <w:p w14:paraId="750FA66A" w14:textId="77777777" w:rsidR="003532D3" w:rsidRPr="00934E9A" w:rsidRDefault="0097469B" w:rsidP="003532D3">
            <w:pPr>
              <w:pStyle w:val="ListParagraph"/>
              <w:spacing w:after="0"/>
              <w:ind w:left="0"/>
              <w:rPr>
                <w:sz w:val="24"/>
                <w:szCs w:val="24"/>
              </w:rPr>
            </w:pPr>
            <w:r w:rsidRPr="00934E9A">
              <w:rPr>
                <w:sz w:val="24"/>
                <w:szCs w:val="24"/>
              </w:rPr>
              <w:t>All contracts with insuran</w:t>
            </w:r>
            <w:r>
              <w:rPr>
                <w:sz w:val="24"/>
                <w:szCs w:val="24"/>
              </w:rPr>
              <w:t>ce companies</w:t>
            </w:r>
          </w:p>
        </w:tc>
        <w:tc>
          <w:tcPr>
            <w:tcW w:w="2421" w:type="dxa"/>
            <w:shd w:val="clear" w:color="auto" w:fill="F1F5F9"/>
          </w:tcPr>
          <w:p w14:paraId="74702864" w14:textId="77777777" w:rsidR="003532D3" w:rsidRPr="00934E9A" w:rsidRDefault="0097469B" w:rsidP="003532D3">
            <w:pPr>
              <w:pStyle w:val="ListParagraph"/>
              <w:ind w:left="0"/>
              <w:rPr>
                <w:sz w:val="24"/>
                <w:szCs w:val="24"/>
              </w:rPr>
            </w:pPr>
            <w:r>
              <w:rPr>
                <w:noProof/>
                <w:sz w:val="24"/>
                <w:szCs w:val="24"/>
              </w:rPr>
              <mc:AlternateContent>
                <mc:Choice Requires="wps">
                  <w:drawing>
                    <wp:anchor distT="0" distB="0" distL="114300" distR="114300" simplePos="0" relativeHeight="251699200" behindDoc="0" locked="0" layoutInCell="1" allowOverlap="1" wp14:anchorId="3804F630" wp14:editId="31655F16">
                      <wp:simplePos x="0" y="0"/>
                      <wp:positionH relativeFrom="column">
                        <wp:posOffset>629285</wp:posOffset>
                      </wp:positionH>
                      <wp:positionV relativeFrom="paragraph">
                        <wp:posOffset>163195</wp:posOffset>
                      </wp:positionV>
                      <wp:extent cx="186055" cy="194945"/>
                      <wp:effectExtent l="15875" t="15875" r="17145" b="17780"/>
                      <wp:wrapNone/>
                      <wp:docPr id="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0" o:spid="_x0000_s1043" style="width:14.65pt;height:15.35pt;margin-top:12.85pt;margin-left:49.55pt;mso-height-percent:0;mso-height-relative:page;mso-width-percent:0;mso-width-relative:page;mso-wrap-distance-bottom:0;mso-wrap-distance-left:9pt;mso-wrap-distance-right:9pt;mso-wrap-distance-top:0;mso-wrap-style:square;position:absolute;v-text-anchor:top;visibility:visible;z-index:251700224" strokeweight="1.5pt"/>
                  </w:pict>
                </mc:Fallback>
              </mc:AlternateContent>
            </w:r>
          </w:p>
        </w:tc>
      </w:tr>
      <w:tr w:rsidR="003A674C" w14:paraId="63CE5537" w14:textId="77777777" w:rsidTr="00015216">
        <w:trPr>
          <w:trHeight w:val="860"/>
        </w:trPr>
        <w:tc>
          <w:tcPr>
            <w:tcW w:w="6929" w:type="dxa"/>
            <w:shd w:val="clear" w:color="auto" w:fill="F1F5F9"/>
            <w:vAlign w:val="center"/>
          </w:tcPr>
          <w:p w14:paraId="2B233FFC" w14:textId="77777777" w:rsidR="003532D3" w:rsidRPr="00934E9A" w:rsidRDefault="0097469B" w:rsidP="003532D3">
            <w:pPr>
              <w:pStyle w:val="ListParagraph"/>
              <w:spacing w:after="0"/>
              <w:ind w:left="0"/>
              <w:rPr>
                <w:sz w:val="24"/>
                <w:szCs w:val="24"/>
              </w:rPr>
            </w:pPr>
            <w:r>
              <w:rPr>
                <w:sz w:val="24"/>
                <w:szCs w:val="24"/>
              </w:rPr>
              <w:t xml:space="preserve">Open enrollment materials, including documents describing cost </w:t>
            </w:r>
            <w:r>
              <w:rPr>
                <w:sz w:val="24"/>
                <w:szCs w:val="24"/>
              </w:rPr>
              <w:t>responsibilities for the employer and employees</w:t>
            </w:r>
          </w:p>
        </w:tc>
        <w:tc>
          <w:tcPr>
            <w:tcW w:w="2421" w:type="dxa"/>
            <w:shd w:val="clear" w:color="auto" w:fill="F1F5F9"/>
          </w:tcPr>
          <w:p w14:paraId="025A7886" w14:textId="77777777" w:rsidR="003532D3" w:rsidRPr="00934E9A" w:rsidRDefault="0097469B" w:rsidP="003532D3">
            <w:pPr>
              <w:pStyle w:val="ListParagraph"/>
              <w:ind w:left="0"/>
              <w:rPr>
                <w:sz w:val="24"/>
                <w:szCs w:val="24"/>
              </w:rPr>
            </w:pPr>
            <w:r>
              <w:rPr>
                <w:noProof/>
                <w:sz w:val="24"/>
                <w:szCs w:val="24"/>
              </w:rPr>
              <mc:AlternateContent>
                <mc:Choice Requires="wps">
                  <w:drawing>
                    <wp:anchor distT="0" distB="0" distL="114300" distR="114300" simplePos="0" relativeHeight="251701248" behindDoc="0" locked="0" layoutInCell="1" allowOverlap="1" wp14:anchorId="18FDAC0E" wp14:editId="56BE5F7D">
                      <wp:simplePos x="0" y="0"/>
                      <wp:positionH relativeFrom="column">
                        <wp:posOffset>629285</wp:posOffset>
                      </wp:positionH>
                      <wp:positionV relativeFrom="paragraph">
                        <wp:posOffset>177800</wp:posOffset>
                      </wp:positionV>
                      <wp:extent cx="186055" cy="194945"/>
                      <wp:effectExtent l="15875" t="15875" r="17145" b="17780"/>
                      <wp:wrapNone/>
                      <wp:docPr id="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1" o:spid="_x0000_s1044" style="width:14.65pt;height:15.35pt;margin-top:14pt;margin-left:49.55pt;mso-height-percent:0;mso-height-relative:page;mso-width-percent:0;mso-width-relative:page;mso-wrap-distance-bottom:0;mso-wrap-distance-left:9pt;mso-wrap-distance-right:9pt;mso-wrap-distance-top:0;mso-wrap-style:square;position:absolute;v-text-anchor:top;visibility:visible;z-index:251702272" strokeweight="1.5pt"/>
                  </w:pict>
                </mc:Fallback>
              </mc:AlternateContent>
            </w:r>
          </w:p>
        </w:tc>
      </w:tr>
      <w:tr w:rsidR="003A674C" w14:paraId="47391739" w14:textId="77777777" w:rsidTr="006322AD">
        <w:trPr>
          <w:trHeight w:val="838"/>
        </w:trPr>
        <w:tc>
          <w:tcPr>
            <w:tcW w:w="6929" w:type="dxa"/>
            <w:shd w:val="clear" w:color="auto" w:fill="F1F5F9"/>
            <w:vAlign w:val="center"/>
          </w:tcPr>
          <w:p w14:paraId="7DA80315" w14:textId="77777777" w:rsidR="003532D3" w:rsidRPr="00934E9A" w:rsidRDefault="0097469B" w:rsidP="003532D3">
            <w:pPr>
              <w:pStyle w:val="ListParagraph"/>
              <w:spacing w:after="0"/>
              <w:ind w:left="0"/>
              <w:rPr>
                <w:sz w:val="24"/>
                <w:szCs w:val="24"/>
              </w:rPr>
            </w:pPr>
            <w:r w:rsidRPr="00C22DA2">
              <w:rPr>
                <w:sz w:val="24"/>
                <w:szCs w:val="24"/>
              </w:rPr>
              <w:lastRenderedPageBreak/>
              <w:t xml:space="preserve">Newborns’ and Mothers’ </w:t>
            </w:r>
            <w:r>
              <w:rPr>
                <w:sz w:val="24"/>
                <w:szCs w:val="24"/>
              </w:rPr>
              <w:t>Health Protection Act notice (may be included in the SPD)</w:t>
            </w:r>
          </w:p>
        </w:tc>
        <w:tc>
          <w:tcPr>
            <w:tcW w:w="2421" w:type="dxa"/>
            <w:tcBorders>
              <w:bottom w:val="nil"/>
            </w:tcBorders>
            <w:shd w:val="clear" w:color="auto" w:fill="F1F5F9"/>
          </w:tcPr>
          <w:p w14:paraId="318B473F" w14:textId="77777777" w:rsidR="003532D3" w:rsidRPr="00934E9A" w:rsidRDefault="0097469B" w:rsidP="003532D3">
            <w:pPr>
              <w:pStyle w:val="ListParagraph"/>
              <w:ind w:left="0"/>
              <w:rPr>
                <w:sz w:val="24"/>
                <w:szCs w:val="24"/>
              </w:rPr>
            </w:pPr>
            <w:r>
              <w:rPr>
                <w:noProof/>
                <w:sz w:val="24"/>
                <w:szCs w:val="24"/>
              </w:rPr>
              <mc:AlternateContent>
                <mc:Choice Requires="wps">
                  <w:drawing>
                    <wp:anchor distT="0" distB="0" distL="114300" distR="114300" simplePos="0" relativeHeight="251703296" behindDoc="0" locked="0" layoutInCell="1" allowOverlap="1" wp14:anchorId="60622669" wp14:editId="3068687B">
                      <wp:simplePos x="0" y="0"/>
                      <wp:positionH relativeFrom="column">
                        <wp:posOffset>629285</wp:posOffset>
                      </wp:positionH>
                      <wp:positionV relativeFrom="paragraph">
                        <wp:posOffset>158750</wp:posOffset>
                      </wp:positionV>
                      <wp:extent cx="186055" cy="194945"/>
                      <wp:effectExtent l="15875" t="15875" r="17145" b="1778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2" o:spid="_x0000_s1045" style="width:14.65pt;height:15.35pt;margin-top:12.5pt;margin-left:49.55pt;mso-height-percent:0;mso-height-relative:page;mso-width-percent:0;mso-width-relative:page;mso-wrap-distance-bottom:0;mso-wrap-distance-left:9pt;mso-wrap-distance-right:9pt;mso-wrap-distance-top:0;mso-wrap-style:square;position:absolute;v-text-anchor:top;visibility:visible;z-index:251704320" strokeweight="1.5pt"/>
                  </w:pict>
                </mc:Fallback>
              </mc:AlternateContent>
            </w:r>
          </w:p>
        </w:tc>
      </w:tr>
      <w:tr w:rsidR="003A674C" w14:paraId="35883C5D" w14:textId="77777777" w:rsidTr="006322AD">
        <w:trPr>
          <w:trHeight w:val="687"/>
        </w:trPr>
        <w:tc>
          <w:tcPr>
            <w:tcW w:w="6929" w:type="dxa"/>
            <w:shd w:val="clear" w:color="auto" w:fill="F1F5F9"/>
            <w:vAlign w:val="center"/>
          </w:tcPr>
          <w:p w14:paraId="743CCFA7" w14:textId="77777777" w:rsidR="00015216" w:rsidRPr="00934E9A" w:rsidRDefault="0097469B" w:rsidP="00015216">
            <w:pPr>
              <w:pStyle w:val="ListParagraph"/>
              <w:spacing w:after="0"/>
              <w:ind w:left="0"/>
              <w:rPr>
                <w:sz w:val="24"/>
                <w:szCs w:val="24"/>
              </w:rPr>
            </w:pPr>
            <w:r w:rsidRPr="00934E9A">
              <w:rPr>
                <w:sz w:val="24"/>
                <w:szCs w:val="24"/>
              </w:rPr>
              <w:t>Wom</w:t>
            </w:r>
            <w:r>
              <w:rPr>
                <w:sz w:val="24"/>
                <w:szCs w:val="24"/>
              </w:rPr>
              <w:t>en’s Health &amp; Cancer Rights Act notice</w:t>
            </w:r>
            <w:r w:rsidR="00C22DA2">
              <w:rPr>
                <w:sz w:val="24"/>
                <w:szCs w:val="24"/>
              </w:rPr>
              <w:t>s</w:t>
            </w:r>
          </w:p>
        </w:tc>
        <w:tc>
          <w:tcPr>
            <w:tcW w:w="2421" w:type="dxa"/>
            <w:tcBorders>
              <w:top w:val="single" w:sz="8" w:space="0" w:color="A6A6A6" w:themeColor="background1" w:themeShade="A6"/>
            </w:tcBorders>
            <w:shd w:val="clear" w:color="auto" w:fill="F1F5F9"/>
          </w:tcPr>
          <w:p w14:paraId="5BF733BA" w14:textId="77777777" w:rsidR="00015216" w:rsidRPr="00934E9A" w:rsidRDefault="0097469B" w:rsidP="00015216">
            <w:pPr>
              <w:pStyle w:val="ListParagraph"/>
              <w:ind w:left="0"/>
              <w:rPr>
                <w:sz w:val="24"/>
                <w:szCs w:val="24"/>
              </w:rPr>
            </w:pPr>
            <w:r>
              <w:rPr>
                <w:noProof/>
                <w:sz w:val="24"/>
                <w:szCs w:val="24"/>
              </w:rPr>
              <mc:AlternateContent>
                <mc:Choice Requires="wps">
                  <w:drawing>
                    <wp:anchor distT="0" distB="0" distL="114300" distR="114300" simplePos="0" relativeHeight="251711488" behindDoc="0" locked="0" layoutInCell="1" allowOverlap="1" wp14:anchorId="307D0476" wp14:editId="4720EB2C">
                      <wp:simplePos x="0" y="0"/>
                      <wp:positionH relativeFrom="column">
                        <wp:posOffset>604520</wp:posOffset>
                      </wp:positionH>
                      <wp:positionV relativeFrom="paragraph">
                        <wp:posOffset>145415</wp:posOffset>
                      </wp:positionV>
                      <wp:extent cx="186055" cy="194945"/>
                      <wp:effectExtent l="10160" t="18415" r="13335" b="15240"/>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3" o:spid="_x0000_s1046" style="width:14.65pt;height:15.35pt;margin-top:11.45pt;margin-left:47.6pt;mso-height-percent:0;mso-height-relative:page;mso-width-percent:0;mso-width-relative:page;mso-wrap-distance-bottom:0;mso-wrap-distance-left:9pt;mso-wrap-distance-right:9pt;mso-wrap-distance-top:0;mso-wrap-style:square;position:absolute;v-text-anchor:top;visibility:visible;z-index:251712512" strokeweight="1.5pt"/>
                  </w:pict>
                </mc:Fallback>
              </mc:AlternateContent>
            </w:r>
          </w:p>
        </w:tc>
      </w:tr>
      <w:tr w:rsidR="003A674C" w14:paraId="249A9AB4" w14:textId="77777777" w:rsidTr="00015216">
        <w:trPr>
          <w:trHeight w:val="687"/>
        </w:trPr>
        <w:tc>
          <w:tcPr>
            <w:tcW w:w="6929" w:type="dxa"/>
            <w:shd w:val="clear" w:color="auto" w:fill="F1F5F9"/>
            <w:vAlign w:val="center"/>
          </w:tcPr>
          <w:p w14:paraId="468094CD" w14:textId="77777777" w:rsidR="00015216" w:rsidRPr="00934E9A" w:rsidRDefault="0097469B" w:rsidP="00015216">
            <w:pPr>
              <w:pStyle w:val="ListParagraph"/>
              <w:spacing w:after="0"/>
              <w:ind w:left="0"/>
              <w:rPr>
                <w:sz w:val="24"/>
                <w:szCs w:val="24"/>
              </w:rPr>
            </w:pPr>
            <w:r>
              <w:rPr>
                <w:sz w:val="24"/>
                <w:szCs w:val="24"/>
              </w:rPr>
              <w:t>Annual Children’s Health Insurance Program (CHIP) notice</w:t>
            </w:r>
          </w:p>
        </w:tc>
        <w:tc>
          <w:tcPr>
            <w:tcW w:w="2421" w:type="dxa"/>
            <w:shd w:val="clear" w:color="auto" w:fill="F1F5F9"/>
          </w:tcPr>
          <w:p w14:paraId="4DD94E38" w14:textId="77777777" w:rsidR="00015216" w:rsidRPr="00934E9A" w:rsidRDefault="0097469B" w:rsidP="00015216">
            <w:pPr>
              <w:pStyle w:val="ListParagraph"/>
              <w:ind w:left="0"/>
              <w:rPr>
                <w:sz w:val="24"/>
                <w:szCs w:val="24"/>
              </w:rPr>
            </w:pPr>
            <w:r>
              <w:rPr>
                <w:noProof/>
                <w:sz w:val="24"/>
                <w:szCs w:val="24"/>
              </w:rPr>
              <mc:AlternateContent>
                <mc:Choice Requires="wps">
                  <w:drawing>
                    <wp:anchor distT="0" distB="0" distL="114300" distR="114300" simplePos="0" relativeHeight="251713536" behindDoc="0" locked="0" layoutInCell="1" allowOverlap="1" wp14:anchorId="54EADBB0" wp14:editId="50FACD92">
                      <wp:simplePos x="0" y="0"/>
                      <wp:positionH relativeFrom="column">
                        <wp:posOffset>604520</wp:posOffset>
                      </wp:positionH>
                      <wp:positionV relativeFrom="paragraph">
                        <wp:posOffset>160020</wp:posOffset>
                      </wp:positionV>
                      <wp:extent cx="186055" cy="194945"/>
                      <wp:effectExtent l="10160" t="18415" r="13335" b="15240"/>
                      <wp:wrapNone/>
                      <wp:docPr id="2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4" o:spid="_x0000_s1047" style="width:14.65pt;height:15.35pt;margin-top:12.6pt;margin-left:47.6pt;mso-height-percent:0;mso-height-relative:page;mso-width-percent:0;mso-width-relative:page;mso-wrap-distance-bottom:0;mso-wrap-distance-left:9pt;mso-wrap-distance-right:9pt;mso-wrap-distance-top:0;mso-wrap-style:square;position:absolute;v-text-anchor:top;visibility:visible;z-index:251714560" strokeweight="1.5pt"/>
                  </w:pict>
                </mc:Fallback>
              </mc:AlternateContent>
            </w:r>
          </w:p>
        </w:tc>
      </w:tr>
      <w:tr w:rsidR="003A674C" w14:paraId="46A31A29" w14:textId="77777777" w:rsidTr="00015216">
        <w:trPr>
          <w:trHeight w:val="122"/>
        </w:trPr>
        <w:tc>
          <w:tcPr>
            <w:tcW w:w="6929" w:type="dxa"/>
            <w:shd w:val="clear" w:color="auto" w:fill="F1F5F9"/>
            <w:vAlign w:val="center"/>
          </w:tcPr>
          <w:p w14:paraId="5A2DB57E" w14:textId="77777777" w:rsidR="00015216" w:rsidRPr="00934E9A" w:rsidRDefault="0097469B" w:rsidP="00015216">
            <w:pPr>
              <w:pStyle w:val="ListParagraph"/>
              <w:spacing w:after="0"/>
              <w:ind w:left="0"/>
              <w:rPr>
                <w:sz w:val="24"/>
                <w:szCs w:val="24"/>
              </w:rPr>
            </w:pPr>
            <w:r w:rsidRPr="00934E9A">
              <w:rPr>
                <w:sz w:val="24"/>
                <w:szCs w:val="24"/>
              </w:rPr>
              <w:t>Materials describing any wellness programs or disease mana</w:t>
            </w:r>
            <w:r>
              <w:rPr>
                <w:sz w:val="24"/>
                <w:szCs w:val="24"/>
              </w:rPr>
              <w:t>gement programs offered by the p</w:t>
            </w:r>
            <w:r w:rsidRPr="00934E9A">
              <w:rPr>
                <w:sz w:val="24"/>
                <w:szCs w:val="24"/>
              </w:rPr>
              <w:t>lan, including rewards based on a health factor</w:t>
            </w:r>
          </w:p>
        </w:tc>
        <w:tc>
          <w:tcPr>
            <w:tcW w:w="2421" w:type="dxa"/>
            <w:shd w:val="clear" w:color="auto" w:fill="F1F5F9"/>
          </w:tcPr>
          <w:p w14:paraId="26989544" w14:textId="77777777" w:rsidR="00015216" w:rsidRPr="00934E9A" w:rsidRDefault="0097469B" w:rsidP="00015216">
            <w:pPr>
              <w:pStyle w:val="ListParagraph"/>
              <w:ind w:left="0"/>
              <w:rPr>
                <w:sz w:val="24"/>
                <w:szCs w:val="24"/>
              </w:rPr>
            </w:pPr>
            <w:r>
              <w:rPr>
                <w:noProof/>
                <w:sz w:val="24"/>
                <w:szCs w:val="24"/>
              </w:rPr>
              <mc:AlternateContent>
                <mc:Choice Requires="wps">
                  <w:drawing>
                    <wp:anchor distT="0" distB="0" distL="114300" distR="114300" simplePos="0" relativeHeight="251715584" behindDoc="0" locked="0" layoutInCell="1" allowOverlap="1" wp14:anchorId="40AD43B0" wp14:editId="520A951F">
                      <wp:simplePos x="0" y="0"/>
                      <wp:positionH relativeFrom="column">
                        <wp:posOffset>604520</wp:posOffset>
                      </wp:positionH>
                      <wp:positionV relativeFrom="paragraph">
                        <wp:posOffset>292735</wp:posOffset>
                      </wp:positionV>
                      <wp:extent cx="186055" cy="194945"/>
                      <wp:effectExtent l="10160" t="12700" r="13335" b="11430"/>
                      <wp:wrapNone/>
                      <wp:docPr id="1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5" o:spid="_x0000_s1048" style="width:14.65pt;height:15.35pt;margin-top:23.05pt;margin-left:47.6pt;mso-height-percent:0;mso-height-relative:page;mso-width-percent:0;mso-width-relative:page;mso-wrap-distance-bottom:0;mso-wrap-distance-left:9pt;mso-wrap-distance-right:9pt;mso-wrap-distance-top:0;mso-wrap-style:square;position:absolute;v-text-anchor:top;visibility:visible;z-index:251716608" strokeweight="1.5pt"/>
                  </w:pict>
                </mc:Fallback>
              </mc:AlternateContent>
            </w:r>
          </w:p>
        </w:tc>
      </w:tr>
      <w:tr w:rsidR="003A674C" w14:paraId="1BC9FE5A" w14:textId="77777777" w:rsidTr="00015216">
        <w:trPr>
          <w:trHeight w:val="122"/>
        </w:trPr>
        <w:tc>
          <w:tcPr>
            <w:tcW w:w="6929" w:type="dxa"/>
            <w:shd w:val="clear" w:color="auto" w:fill="F1F5F9"/>
            <w:vAlign w:val="center"/>
          </w:tcPr>
          <w:p w14:paraId="7A2F632B" w14:textId="77777777" w:rsidR="00015216" w:rsidRPr="00934E9A" w:rsidRDefault="0097469B" w:rsidP="00015216">
            <w:pPr>
              <w:pStyle w:val="ListParagraph"/>
              <w:spacing w:after="0"/>
              <w:ind w:left="0"/>
              <w:rPr>
                <w:sz w:val="24"/>
                <w:szCs w:val="24"/>
              </w:rPr>
            </w:pPr>
            <w:r>
              <w:rPr>
                <w:sz w:val="24"/>
                <w:szCs w:val="24"/>
              </w:rPr>
              <w:t>Documents showing compliance with HIPAA’s portability rules, including special enrollment rights</w:t>
            </w:r>
          </w:p>
        </w:tc>
        <w:tc>
          <w:tcPr>
            <w:tcW w:w="2421" w:type="dxa"/>
            <w:shd w:val="clear" w:color="auto" w:fill="F1F5F9"/>
          </w:tcPr>
          <w:p w14:paraId="06FC6561" w14:textId="77777777" w:rsidR="00015216" w:rsidRPr="00934E9A" w:rsidRDefault="0097469B" w:rsidP="00015216">
            <w:pPr>
              <w:pStyle w:val="ListParagraph"/>
              <w:ind w:left="0"/>
              <w:rPr>
                <w:sz w:val="24"/>
                <w:szCs w:val="24"/>
              </w:rPr>
            </w:pPr>
            <w:r>
              <w:rPr>
                <w:noProof/>
                <w:sz w:val="24"/>
                <w:szCs w:val="24"/>
              </w:rPr>
              <mc:AlternateContent>
                <mc:Choice Requires="wps">
                  <w:drawing>
                    <wp:anchor distT="0" distB="0" distL="114300" distR="114300" simplePos="0" relativeHeight="251717632" behindDoc="0" locked="0" layoutInCell="1" allowOverlap="1" wp14:anchorId="7B07AC76" wp14:editId="707021C7">
                      <wp:simplePos x="0" y="0"/>
                      <wp:positionH relativeFrom="column">
                        <wp:posOffset>604520</wp:posOffset>
                      </wp:positionH>
                      <wp:positionV relativeFrom="paragraph">
                        <wp:posOffset>271145</wp:posOffset>
                      </wp:positionV>
                      <wp:extent cx="186055" cy="194945"/>
                      <wp:effectExtent l="10160" t="10795" r="13335" b="13335"/>
                      <wp:wrapNone/>
                      <wp:docPr id="1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6" o:spid="_x0000_s1049" style="width:14.65pt;height:15.35pt;margin-top:21.35pt;margin-left:47.6pt;mso-height-percent:0;mso-height-relative:page;mso-width-percent:0;mso-width-relative:page;mso-wrap-distance-bottom:0;mso-wrap-distance-left:9pt;mso-wrap-distance-right:9pt;mso-wrap-distance-top:0;mso-wrap-style:square;position:absolute;v-text-anchor:top;visibility:visible;z-index:251718656" strokeweight="1.5pt"/>
                  </w:pict>
                </mc:Fallback>
              </mc:AlternateContent>
            </w:r>
          </w:p>
        </w:tc>
      </w:tr>
      <w:tr w:rsidR="003A674C" w14:paraId="00D86531" w14:textId="77777777" w:rsidTr="00015216">
        <w:trPr>
          <w:trHeight w:val="122"/>
        </w:trPr>
        <w:tc>
          <w:tcPr>
            <w:tcW w:w="6929" w:type="dxa"/>
            <w:shd w:val="clear" w:color="auto" w:fill="F1F5F9"/>
            <w:vAlign w:val="center"/>
          </w:tcPr>
          <w:p w14:paraId="2F2F7A71" w14:textId="77777777" w:rsidR="00015216" w:rsidRPr="00934E9A" w:rsidRDefault="0097469B" w:rsidP="00015216">
            <w:pPr>
              <w:pStyle w:val="ListParagraph"/>
              <w:spacing w:after="0"/>
              <w:ind w:left="0"/>
              <w:rPr>
                <w:sz w:val="24"/>
                <w:szCs w:val="24"/>
              </w:rPr>
            </w:pPr>
            <w:r>
              <w:rPr>
                <w:sz w:val="24"/>
                <w:szCs w:val="24"/>
              </w:rPr>
              <w:t>Documents showing compliance with COBRA, including general notice, election notice, notice of COBRA unavailability, notice of early termination and notice of insufficient payment</w:t>
            </w:r>
          </w:p>
        </w:tc>
        <w:tc>
          <w:tcPr>
            <w:tcW w:w="2421" w:type="dxa"/>
            <w:shd w:val="clear" w:color="auto" w:fill="F1F5F9"/>
          </w:tcPr>
          <w:p w14:paraId="4B792049" w14:textId="77777777" w:rsidR="00015216" w:rsidRPr="00934E9A" w:rsidRDefault="0097469B" w:rsidP="00015216">
            <w:pPr>
              <w:pStyle w:val="ListParagraph"/>
              <w:ind w:left="0"/>
              <w:rPr>
                <w:sz w:val="24"/>
                <w:szCs w:val="24"/>
              </w:rPr>
            </w:pPr>
            <w:r>
              <w:rPr>
                <w:noProof/>
                <w:sz w:val="24"/>
                <w:szCs w:val="24"/>
              </w:rPr>
              <mc:AlternateContent>
                <mc:Choice Requires="wps">
                  <w:drawing>
                    <wp:anchor distT="0" distB="0" distL="114300" distR="114300" simplePos="0" relativeHeight="251719680" behindDoc="0" locked="0" layoutInCell="1" allowOverlap="1" wp14:anchorId="18CCB353" wp14:editId="00083D84">
                      <wp:simplePos x="0" y="0"/>
                      <wp:positionH relativeFrom="column">
                        <wp:posOffset>604520</wp:posOffset>
                      </wp:positionH>
                      <wp:positionV relativeFrom="paragraph">
                        <wp:posOffset>317500</wp:posOffset>
                      </wp:positionV>
                      <wp:extent cx="186055" cy="194945"/>
                      <wp:effectExtent l="10160" t="15240" r="13335" b="18415"/>
                      <wp:wrapNone/>
                      <wp:docPr id="1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7" o:spid="_x0000_s1050" style="width:14.65pt;height:15.35pt;margin-top:25pt;margin-left:47.6pt;mso-height-percent:0;mso-height-relative:page;mso-width-percent:0;mso-width-relative:page;mso-wrap-distance-bottom:0;mso-wrap-distance-left:9pt;mso-wrap-distance-right:9pt;mso-wrap-distance-top:0;mso-wrap-style:square;position:absolute;v-text-anchor:top;visibility:visible;z-index:251720704" strokeweight="1.5pt"/>
                  </w:pict>
                </mc:Fallback>
              </mc:AlternateContent>
            </w:r>
          </w:p>
        </w:tc>
      </w:tr>
      <w:tr w:rsidR="003A674C" w14:paraId="03C19CE9" w14:textId="77777777" w:rsidTr="00015216">
        <w:trPr>
          <w:trHeight w:val="122"/>
        </w:trPr>
        <w:tc>
          <w:tcPr>
            <w:tcW w:w="6929" w:type="dxa"/>
            <w:shd w:val="clear" w:color="auto" w:fill="F1F5F9"/>
            <w:vAlign w:val="center"/>
          </w:tcPr>
          <w:p w14:paraId="08AEC605" w14:textId="77777777" w:rsidR="00015216" w:rsidRPr="00934E9A" w:rsidRDefault="0097469B" w:rsidP="00015216">
            <w:pPr>
              <w:pStyle w:val="ListParagraph"/>
              <w:spacing w:after="0"/>
              <w:ind w:left="0"/>
              <w:rPr>
                <w:sz w:val="24"/>
                <w:szCs w:val="24"/>
              </w:rPr>
            </w:pPr>
            <w:r>
              <w:rPr>
                <w:sz w:val="24"/>
                <w:szCs w:val="24"/>
              </w:rPr>
              <w:t xml:space="preserve">Documents showing compliance with federal mental health parity requirements </w:t>
            </w:r>
          </w:p>
        </w:tc>
        <w:tc>
          <w:tcPr>
            <w:tcW w:w="2421" w:type="dxa"/>
            <w:shd w:val="clear" w:color="auto" w:fill="F1F5F9"/>
          </w:tcPr>
          <w:p w14:paraId="33EF70A8" w14:textId="77777777" w:rsidR="00015216" w:rsidRPr="00934E9A" w:rsidRDefault="0097469B" w:rsidP="00015216">
            <w:pPr>
              <w:pStyle w:val="ListParagraph"/>
              <w:ind w:left="0"/>
              <w:rPr>
                <w:sz w:val="24"/>
                <w:szCs w:val="24"/>
              </w:rPr>
            </w:pPr>
            <w:r>
              <w:rPr>
                <w:noProof/>
                <w:sz w:val="24"/>
                <w:szCs w:val="24"/>
              </w:rPr>
              <mc:AlternateContent>
                <mc:Choice Requires="wps">
                  <w:drawing>
                    <wp:anchor distT="0" distB="0" distL="114300" distR="114300" simplePos="0" relativeHeight="251738112" behindDoc="0" locked="0" layoutInCell="1" allowOverlap="1" wp14:anchorId="572C9392" wp14:editId="64261EBB">
                      <wp:simplePos x="0" y="0"/>
                      <wp:positionH relativeFrom="column">
                        <wp:posOffset>604520</wp:posOffset>
                      </wp:positionH>
                      <wp:positionV relativeFrom="paragraph">
                        <wp:posOffset>122555</wp:posOffset>
                      </wp:positionV>
                      <wp:extent cx="186055" cy="194945"/>
                      <wp:effectExtent l="10160" t="15240" r="13335" b="18415"/>
                      <wp:wrapNone/>
                      <wp:docPr id="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7" o:spid="_x0000_s1051" style="width:14.65pt;height:15.35pt;margin-top:9.65pt;margin-left:47.6pt;mso-height-percent:0;mso-height-relative:page;mso-width-percent:0;mso-width-relative:page;mso-wrap-distance-bottom:0;mso-wrap-distance-left:9pt;mso-wrap-distance-right:9pt;mso-wrap-distance-top:0;mso-wrap-style:square;position:absolute;v-text-anchor:top;visibility:visible;z-index:251739136" strokeweight="1.5pt"/>
                  </w:pict>
                </mc:Fallback>
              </mc:AlternateContent>
            </w:r>
          </w:p>
        </w:tc>
      </w:tr>
      <w:tr w:rsidR="003A674C" w14:paraId="36D677BC" w14:textId="77777777" w:rsidTr="00015216">
        <w:trPr>
          <w:trHeight w:val="122"/>
        </w:trPr>
        <w:tc>
          <w:tcPr>
            <w:tcW w:w="6929" w:type="dxa"/>
            <w:shd w:val="clear" w:color="auto" w:fill="F1F5F9"/>
            <w:vAlign w:val="center"/>
          </w:tcPr>
          <w:p w14:paraId="35AD577F" w14:textId="77777777" w:rsidR="00015216" w:rsidRDefault="0097469B" w:rsidP="00015216">
            <w:pPr>
              <w:pStyle w:val="ListParagraph"/>
              <w:spacing w:after="0"/>
              <w:ind w:left="0"/>
              <w:rPr>
                <w:sz w:val="24"/>
                <w:szCs w:val="24"/>
              </w:rPr>
            </w:pPr>
            <w:r>
              <w:rPr>
                <w:sz w:val="24"/>
                <w:szCs w:val="24"/>
              </w:rPr>
              <w:t>If the plan has grandfathered status under the ACA, documents that verify the plan’s status and the notice of grandfathered plan status</w:t>
            </w:r>
          </w:p>
        </w:tc>
        <w:tc>
          <w:tcPr>
            <w:tcW w:w="2421" w:type="dxa"/>
            <w:shd w:val="clear" w:color="auto" w:fill="F1F5F9"/>
          </w:tcPr>
          <w:p w14:paraId="560271D9" w14:textId="77777777" w:rsidR="00015216" w:rsidRPr="00934E9A" w:rsidRDefault="0097469B" w:rsidP="00015216">
            <w:pPr>
              <w:pStyle w:val="ListParagraph"/>
              <w:ind w:left="0"/>
              <w:rPr>
                <w:sz w:val="24"/>
                <w:szCs w:val="24"/>
              </w:rPr>
            </w:pPr>
            <w:r>
              <w:rPr>
                <w:noProof/>
                <w:sz w:val="24"/>
                <w:szCs w:val="24"/>
              </w:rPr>
              <mc:AlternateContent>
                <mc:Choice Requires="wps">
                  <w:drawing>
                    <wp:anchor distT="0" distB="0" distL="114300" distR="114300" simplePos="0" relativeHeight="251721728" behindDoc="0" locked="0" layoutInCell="1" allowOverlap="1" wp14:anchorId="2575D97B" wp14:editId="35250C97">
                      <wp:simplePos x="0" y="0"/>
                      <wp:positionH relativeFrom="column">
                        <wp:posOffset>604520</wp:posOffset>
                      </wp:positionH>
                      <wp:positionV relativeFrom="paragraph">
                        <wp:posOffset>126365</wp:posOffset>
                      </wp:positionV>
                      <wp:extent cx="186055" cy="194945"/>
                      <wp:effectExtent l="10160" t="14605" r="13335" b="9525"/>
                      <wp:wrapNone/>
                      <wp:docPr id="16"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8" o:spid="_x0000_s1052" style="width:14.65pt;height:15.35pt;margin-top:9.95pt;margin-left:47.6pt;mso-height-percent:0;mso-height-relative:page;mso-width-percent:0;mso-width-relative:page;mso-wrap-distance-bottom:0;mso-wrap-distance-left:9pt;mso-wrap-distance-right:9pt;mso-wrap-distance-top:0;mso-wrap-style:square;position:absolute;v-text-anchor:top;visibility:visible;z-index:251722752" strokeweight="1.5pt"/>
                  </w:pict>
                </mc:Fallback>
              </mc:AlternateContent>
            </w:r>
          </w:p>
        </w:tc>
      </w:tr>
      <w:tr w:rsidR="003A674C" w14:paraId="4E3E269B" w14:textId="77777777" w:rsidTr="00015216">
        <w:trPr>
          <w:trHeight w:val="122"/>
        </w:trPr>
        <w:tc>
          <w:tcPr>
            <w:tcW w:w="6929" w:type="dxa"/>
            <w:shd w:val="clear" w:color="auto" w:fill="F1F5F9"/>
            <w:vAlign w:val="center"/>
          </w:tcPr>
          <w:p w14:paraId="5CBC4255" w14:textId="77777777" w:rsidR="00015216" w:rsidRPr="00934E9A" w:rsidRDefault="0097469B" w:rsidP="00015216">
            <w:pPr>
              <w:pStyle w:val="ListParagraph"/>
              <w:spacing w:after="0"/>
              <w:ind w:left="0"/>
              <w:rPr>
                <w:sz w:val="24"/>
                <w:szCs w:val="24"/>
              </w:rPr>
            </w:pPr>
            <w:r>
              <w:rPr>
                <w:sz w:val="24"/>
                <w:szCs w:val="24"/>
              </w:rPr>
              <w:t xml:space="preserve">If the plan has rescinded coverage, a list of those participants and dependents whose coverage has been </w:t>
            </w:r>
            <w:r>
              <w:rPr>
                <w:sz w:val="24"/>
                <w:szCs w:val="24"/>
              </w:rPr>
              <w:t>rescinded, the reasons for the rescission and the notice of rescission</w:t>
            </w:r>
          </w:p>
        </w:tc>
        <w:tc>
          <w:tcPr>
            <w:tcW w:w="2421" w:type="dxa"/>
            <w:shd w:val="clear" w:color="auto" w:fill="F1F5F9"/>
          </w:tcPr>
          <w:p w14:paraId="3D49AB51" w14:textId="77777777" w:rsidR="00015216" w:rsidRPr="00934E9A" w:rsidRDefault="0097469B" w:rsidP="00015216">
            <w:pPr>
              <w:pStyle w:val="ListParagraph"/>
              <w:ind w:left="0"/>
              <w:rPr>
                <w:sz w:val="24"/>
                <w:szCs w:val="24"/>
              </w:rPr>
            </w:pPr>
            <w:r>
              <w:rPr>
                <w:noProof/>
                <w:sz w:val="24"/>
                <w:szCs w:val="24"/>
              </w:rPr>
              <mc:AlternateContent>
                <mc:Choice Requires="wps">
                  <w:drawing>
                    <wp:anchor distT="0" distB="0" distL="114300" distR="114300" simplePos="0" relativeHeight="251723776" behindDoc="0" locked="0" layoutInCell="1" allowOverlap="1" wp14:anchorId="6960CC94" wp14:editId="41952DCC">
                      <wp:simplePos x="0" y="0"/>
                      <wp:positionH relativeFrom="column">
                        <wp:posOffset>604520</wp:posOffset>
                      </wp:positionH>
                      <wp:positionV relativeFrom="paragraph">
                        <wp:posOffset>285115</wp:posOffset>
                      </wp:positionV>
                      <wp:extent cx="186055" cy="194945"/>
                      <wp:effectExtent l="10160" t="17145" r="13335" b="16510"/>
                      <wp:wrapNone/>
                      <wp:docPr id="1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29" o:spid="_x0000_s1053" style="width:14.65pt;height:15.35pt;margin-top:22.45pt;margin-left:47.6pt;mso-height-percent:0;mso-height-relative:page;mso-width-percent:0;mso-width-relative:page;mso-wrap-distance-bottom:0;mso-wrap-distance-left:9pt;mso-wrap-distance-right:9pt;mso-wrap-distance-top:0;mso-wrap-style:square;position:absolute;v-text-anchor:top;visibility:visible;z-index:251724800" strokeweight="1.5pt"/>
                  </w:pict>
                </mc:Fallback>
              </mc:AlternateContent>
            </w:r>
          </w:p>
        </w:tc>
      </w:tr>
      <w:tr w:rsidR="003A674C" w14:paraId="26A824E9" w14:textId="77777777" w:rsidTr="00015216">
        <w:trPr>
          <w:trHeight w:val="122"/>
        </w:trPr>
        <w:tc>
          <w:tcPr>
            <w:tcW w:w="6929" w:type="dxa"/>
            <w:shd w:val="clear" w:color="auto" w:fill="F1F5F9"/>
            <w:vAlign w:val="center"/>
          </w:tcPr>
          <w:p w14:paraId="415BDC87" w14:textId="77777777" w:rsidR="00015216" w:rsidRPr="00934E9A" w:rsidRDefault="0097469B" w:rsidP="00015216">
            <w:pPr>
              <w:pStyle w:val="ListParagraph"/>
              <w:spacing w:after="0"/>
              <w:ind w:left="0"/>
              <w:rPr>
                <w:sz w:val="24"/>
                <w:szCs w:val="24"/>
              </w:rPr>
            </w:pPr>
            <w:r>
              <w:rPr>
                <w:sz w:val="24"/>
                <w:szCs w:val="24"/>
              </w:rPr>
              <w:t>Information on any rebates, including medical loss ratio (MLR) rebates, received by the plan, such as information on how the rebates were allocated and used</w:t>
            </w:r>
          </w:p>
        </w:tc>
        <w:tc>
          <w:tcPr>
            <w:tcW w:w="2421" w:type="dxa"/>
            <w:shd w:val="clear" w:color="auto" w:fill="F1F5F9"/>
          </w:tcPr>
          <w:p w14:paraId="7C28072C" w14:textId="77777777" w:rsidR="00015216" w:rsidRPr="00934E9A" w:rsidRDefault="0097469B" w:rsidP="00015216">
            <w:pPr>
              <w:pStyle w:val="ListParagraph"/>
              <w:ind w:left="0"/>
              <w:rPr>
                <w:sz w:val="24"/>
                <w:szCs w:val="24"/>
              </w:rPr>
            </w:pPr>
            <w:r>
              <w:rPr>
                <w:noProof/>
                <w:sz w:val="24"/>
                <w:szCs w:val="24"/>
              </w:rPr>
              <mc:AlternateContent>
                <mc:Choice Requires="wps">
                  <w:drawing>
                    <wp:anchor distT="0" distB="0" distL="114300" distR="114300" simplePos="0" relativeHeight="251725824" behindDoc="0" locked="0" layoutInCell="1" allowOverlap="1" wp14:anchorId="130AB165" wp14:editId="1C4431B5">
                      <wp:simplePos x="0" y="0"/>
                      <wp:positionH relativeFrom="column">
                        <wp:posOffset>604520</wp:posOffset>
                      </wp:positionH>
                      <wp:positionV relativeFrom="paragraph">
                        <wp:posOffset>305435</wp:posOffset>
                      </wp:positionV>
                      <wp:extent cx="186055" cy="194945"/>
                      <wp:effectExtent l="10160" t="9525" r="13335" b="14605"/>
                      <wp:wrapNone/>
                      <wp:docPr id="1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0" o:spid="_x0000_s1054" style="width:14.65pt;height:15.35pt;margin-top:24.05pt;margin-left:47.6pt;mso-height-percent:0;mso-height-relative:page;mso-width-percent:0;mso-width-relative:page;mso-wrap-distance-bottom:0;mso-wrap-distance-left:9pt;mso-wrap-distance-right:9pt;mso-wrap-distance-top:0;mso-wrap-style:square;position:absolute;v-text-anchor:top;visibility:visible;z-index:251726848" strokeweight="1.5pt"/>
                  </w:pict>
                </mc:Fallback>
              </mc:AlternateContent>
            </w:r>
          </w:p>
        </w:tc>
      </w:tr>
      <w:tr w:rsidR="003A674C" w14:paraId="5BEB73FB" w14:textId="77777777" w:rsidTr="00015216">
        <w:trPr>
          <w:trHeight w:val="122"/>
        </w:trPr>
        <w:tc>
          <w:tcPr>
            <w:tcW w:w="6929" w:type="dxa"/>
            <w:shd w:val="clear" w:color="auto" w:fill="F1F5F9"/>
            <w:vAlign w:val="center"/>
          </w:tcPr>
          <w:p w14:paraId="1B9CD74A" w14:textId="77777777" w:rsidR="00015216" w:rsidRPr="00934E9A" w:rsidRDefault="0097469B" w:rsidP="00015216">
            <w:pPr>
              <w:pStyle w:val="ListParagraph"/>
              <w:spacing w:after="0"/>
              <w:ind w:left="0"/>
              <w:rPr>
                <w:sz w:val="24"/>
                <w:szCs w:val="24"/>
              </w:rPr>
            </w:pPr>
            <w:r>
              <w:rPr>
                <w:sz w:val="24"/>
                <w:szCs w:val="24"/>
              </w:rPr>
              <w:t xml:space="preserve">Summary of </w:t>
            </w:r>
            <w:r>
              <w:rPr>
                <w:sz w:val="24"/>
                <w:szCs w:val="24"/>
              </w:rPr>
              <w:t>Benefits and Coverage and any 60-day advance notice of a mid-year material change to the plan</w:t>
            </w:r>
          </w:p>
        </w:tc>
        <w:tc>
          <w:tcPr>
            <w:tcW w:w="2421" w:type="dxa"/>
            <w:shd w:val="clear" w:color="auto" w:fill="F1F5F9"/>
          </w:tcPr>
          <w:p w14:paraId="6AFBE0C9" w14:textId="77777777" w:rsidR="00015216" w:rsidRPr="00934E9A" w:rsidRDefault="0097469B" w:rsidP="00015216">
            <w:pPr>
              <w:pStyle w:val="ListParagraph"/>
              <w:ind w:left="0"/>
              <w:rPr>
                <w:sz w:val="24"/>
                <w:szCs w:val="24"/>
              </w:rPr>
            </w:pPr>
            <w:r>
              <w:rPr>
                <w:noProof/>
                <w:sz w:val="24"/>
                <w:szCs w:val="24"/>
              </w:rPr>
              <mc:AlternateContent>
                <mc:Choice Requires="wps">
                  <w:drawing>
                    <wp:anchor distT="0" distB="0" distL="114300" distR="114300" simplePos="0" relativeHeight="251727872" behindDoc="0" locked="0" layoutInCell="1" allowOverlap="1" wp14:anchorId="7F33A133" wp14:editId="7ABC276C">
                      <wp:simplePos x="0" y="0"/>
                      <wp:positionH relativeFrom="column">
                        <wp:posOffset>604520</wp:posOffset>
                      </wp:positionH>
                      <wp:positionV relativeFrom="paragraph">
                        <wp:posOffset>165100</wp:posOffset>
                      </wp:positionV>
                      <wp:extent cx="186055" cy="194945"/>
                      <wp:effectExtent l="10160" t="12700" r="13335" b="11430"/>
                      <wp:wrapNone/>
                      <wp:docPr id="1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1" o:spid="_x0000_s1055" style="width:14.65pt;height:15.35pt;margin-top:13pt;margin-left:47.6pt;mso-height-percent:0;mso-height-relative:page;mso-width-percent:0;mso-width-relative:page;mso-wrap-distance-bottom:0;mso-wrap-distance-left:9pt;mso-wrap-distance-right:9pt;mso-wrap-distance-top:0;mso-wrap-style:square;position:absolute;v-text-anchor:top;visibility:visible;z-index:251728896" strokeweight="1.5pt"/>
                  </w:pict>
                </mc:Fallback>
              </mc:AlternateContent>
            </w:r>
          </w:p>
        </w:tc>
      </w:tr>
      <w:tr w:rsidR="003A674C" w14:paraId="24B5AB31" w14:textId="77777777" w:rsidTr="00015216">
        <w:trPr>
          <w:trHeight w:val="122"/>
        </w:trPr>
        <w:tc>
          <w:tcPr>
            <w:tcW w:w="6929" w:type="dxa"/>
            <w:shd w:val="clear" w:color="auto" w:fill="F1F5F9"/>
            <w:vAlign w:val="center"/>
          </w:tcPr>
          <w:p w14:paraId="72CD52DA" w14:textId="77777777" w:rsidR="00015216" w:rsidRPr="00934E9A" w:rsidRDefault="0097469B" w:rsidP="00015216">
            <w:pPr>
              <w:pStyle w:val="ListParagraph"/>
              <w:spacing w:after="0"/>
              <w:ind w:left="0"/>
              <w:rPr>
                <w:sz w:val="24"/>
                <w:szCs w:val="24"/>
              </w:rPr>
            </w:pPr>
            <w:r>
              <w:rPr>
                <w:sz w:val="24"/>
                <w:szCs w:val="24"/>
              </w:rPr>
              <w:t xml:space="preserve">Documents describing coverage of preventive health services </w:t>
            </w:r>
          </w:p>
        </w:tc>
        <w:tc>
          <w:tcPr>
            <w:tcW w:w="2421" w:type="dxa"/>
            <w:shd w:val="clear" w:color="auto" w:fill="F1F5F9"/>
          </w:tcPr>
          <w:p w14:paraId="49F059E6" w14:textId="77777777" w:rsidR="00015216" w:rsidRPr="00934E9A" w:rsidRDefault="0097469B" w:rsidP="00015216">
            <w:pPr>
              <w:pStyle w:val="ListParagraph"/>
              <w:ind w:left="0"/>
              <w:rPr>
                <w:sz w:val="24"/>
                <w:szCs w:val="24"/>
              </w:rPr>
            </w:pPr>
            <w:r>
              <w:rPr>
                <w:noProof/>
                <w:sz w:val="24"/>
                <w:szCs w:val="24"/>
              </w:rPr>
              <mc:AlternateContent>
                <mc:Choice Requires="wps">
                  <w:drawing>
                    <wp:anchor distT="0" distB="0" distL="114300" distR="114300" simplePos="0" relativeHeight="251729920" behindDoc="0" locked="0" layoutInCell="1" allowOverlap="1" wp14:anchorId="1F414ADB" wp14:editId="26E16756">
                      <wp:simplePos x="0" y="0"/>
                      <wp:positionH relativeFrom="column">
                        <wp:posOffset>604520</wp:posOffset>
                      </wp:positionH>
                      <wp:positionV relativeFrom="paragraph">
                        <wp:posOffset>78740</wp:posOffset>
                      </wp:positionV>
                      <wp:extent cx="186055" cy="194945"/>
                      <wp:effectExtent l="10160" t="17145" r="13335" b="16510"/>
                      <wp:wrapNone/>
                      <wp:docPr id="1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2" o:spid="_x0000_s1056" style="width:14.65pt;height:15.35pt;margin-top:6.2pt;margin-left:47.6pt;mso-height-percent:0;mso-height-relative:page;mso-width-percent:0;mso-width-relative:page;mso-wrap-distance-bottom:0;mso-wrap-distance-left:9pt;mso-wrap-distance-right:9pt;mso-wrap-distance-top:0;mso-wrap-style:square;position:absolute;v-text-anchor:top;visibility:visible;z-index:251730944" strokeweight="1.5pt"/>
                  </w:pict>
                </mc:Fallback>
              </mc:AlternateContent>
            </w:r>
          </w:p>
        </w:tc>
      </w:tr>
      <w:tr w:rsidR="003A674C" w14:paraId="2C0B708D" w14:textId="77777777" w:rsidTr="00015216">
        <w:trPr>
          <w:trHeight w:val="122"/>
        </w:trPr>
        <w:tc>
          <w:tcPr>
            <w:tcW w:w="6929" w:type="dxa"/>
            <w:shd w:val="clear" w:color="auto" w:fill="F1F5F9"/>
            <w:vAlign w:val="center"/>
          </w:tcPr>
          <w:p w14:paraId="68753A16" w14:textId="77777777" w:rsidR="00015216" w:rsidRPr="00934E9A" w:rsidRDefault="0097469B" w:rsidP="00015216">
            <w:pPr>
              <w:pStyle w:val="ListParagraph"/>
              <w:spacing w:after="0"/>
              <w:ind w:left="0"/>
              <w:rPr>
                <w:sz w:val="24"/>
                <w:szCs w:val="24"/>
              </w:rPr>
            </w:pPr>
            <w:r>
              <w:rPr>
                <w:sz w:val="24"/>
                <w:szCs w:val="24"/>
              </w:rPr>
              <w:t>Notice of patient protections and selection of providers</w:t>
            </w:r>
          </w:p>
        </w:tc>
        <w:tc>
          <w:tcPr>
            <w:tcW w:w="2421" w:type="dxa"/>
            <w:shd w:val="clear" w:color="auto" w:fill="F1F5F9"/>
          </w:tcPr>
          <w:p w14:paraId="74423C2D" w14:textId="77777777" w:rsidR="00015216" w:rsidRPr="00934E9A" w:rsidRDefault="0097469B" w:rsidP="00015216">
            <w:pPr>
              <w:pStyle w:val="ListParagraph"/>
              <w:ind w:left="0"/>
              <w:rPr>
                <w:sz w:val="24"/>
                <w:szCs w:val="24"/>
              </w:rPr>
            </w:pPr>
            <w:r>
              <w:rPr>
                <w:noProof/>
                <w:sz w:val="24"/>
                <w:szCs w:val="24"/>
              </w:rPr>
              <mc:AlternateContent>
                <mc:Choice Requires="wps">
                  <w:drawing>
                    <wp:anchor distT="0" distB="0" distL="114300" distR="114300" simplePos="0" relativeHeight="251731968" behindDoc="0" locked="0" layoutInCell="1" allowOverlap="1" wp14:anchorId="3046156D" wp14:editId="0BB0BF82">
                      <wp:simplePos x="0" y="0"/>
                      <wp:positionH relativeFrom="column">
                        <wp:posOffset>604520</wp:posOffset>
                      </wp:positionH>
                      <wp:positionV relativeFrom="paragraph">
                        <wp:posOffset>154305</wp:posOffset>
                      </wp:positionV>
                      <wp:extent cx="186055" cy="194945"/>
                      <wp:effectExtent l="10160" t="11430" r="13335" b="12700"/>
                      <wp:wrapNone/>
                      <wp:docPr id="1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3" o:spid="_x0000_s1057" style="width:14.65pt;height:15.35pt;margin-top:12.15pt;margin-left:47.6pt;mso-height-percent:0;mso-height-relative:page;mso-width-percent:0;mso-width-relative:page;mso-wrap-distance-bottom:0;mso-wrap-distance-left:9pt;mso-wrap-distance-right:9pt;mso-wrap-distance-top:0;mso-wrap-style:square;position:absolute;v-text-anchor:top;visibility:visible;z-index:251732992" strokeweight="1.5pt"/>
                  </w:pict>
                </mc:Fallback>
              </mc:AlternateContent>
            </w:r>
          </w:p>
        </w:tc>
      </w:tr>
      <w:tr w:rsidR="003A674C" w14:paraId="0C6B61FF" w14:textId="77777777" w:rsidTr="00015216">
        <w:trPr>
          <w:trHeight w:val="122"/>
        </w:trPr>
        <w:tc>
          <w:tcPr>
            <w:tcW w:w="6929" w:type="dxa"/>
            <w:shd w:val="clear" w:color="auto" w:fill="F1F5F9"/>
            <w:vAlign w:val="center"/>
          </w:tcPr>
          <w:p w14:paraId="4DE9A1C5" w14:textId="77777777" w:rsidR="00015216" w:rsidRDefault="0097469B" w:rsidP="00015216">
            <w:pPr>
              <w:pStyle w:val="ListParagraph"/>
              <w:spacing w:after="0"/>
              <w:ind w:left="0"/>
              <w:rPr>
                <w:sz w:val="24"/>
                <w:szCs w:val="24"/>
              </w:rPr>
            </w:pPr>
            <w:r>
              <w:rPr>
                <w:sz w:val="24"/>
                <w:szCs w:val="24"/>
              </w:rPr>
              <w:t xml:space="preserve">Information on the plan’s </w:t>
            </w:r>
            <w:r>
              <w:rPr>
                <w:sz w:val="24"/>
                <w:szCs w:val="24"/>
              </w:rPr>
              <w:t>claims and appeals procedures</w:t>
            </w:r>
          </w:p>
        </w:tc>
        <w:tc>
          <w:tcPr>
            <w:tcW w:w="2421" w:type="dxa"/>
            <w:shd w:val="clear" w:color="auto" w:fill="F1F5F9"/>
          </w:tcPr>
          <w:p w14:paraId="16EFE686" w14:textId="77777777" w:rsidR="00015216" w:rsidRPr="00934E9A" w:rsidRDefault="0097469B" w:rsidP="00015216">
            <w:pPr>
              <w:pStyle w:val="ListParagraph"/>
              <w:ind w:left="0"/>
              <w:rPr>
                <w:sz w:val="24"/>
                <w:szCs w:val="24"/>
              </w:rPr>
            </w:pPr>
            <w:r>
              <w:rPr>
                <w:noProof/>
                <w:sz w:val="24"/>
                <w:szCs w:val="24"/>
              </w:rPr>
              <mc:AlternateContent>
                <mc:Choice Requires="wps">
                  <w:drawing>
                    <wp:anchor distT="0" distB="0" distL="114300" distR="114300" simplePos="0" relativeHeight="251734016" behindDoc="0" locked="0" layoutInCell="1" allowOverlap="1" wp14:anchorId="16AF8797" wp14:editId="66F16985">
                      <wp:simplePos x="0" y="0"/>
                      <wp:positionH relativeFrom="column">
                        <wp:posOffset>604520</wp:posOffset>
                      </wp:positionH>
                      <wp:positionV relativeFrom="paragraph">
                        <wp:posOffset>151765</wp:posOffset>
                      </wp:positionV>
                      <wp:extent cx="186055" cy="194945"/>
                      <wp:effectExtent l="10160" t="14605" r="13335" b="9525"/>
                      <wp:wrapNone/>
                      <wp:docPr id="1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4" o:spid="_x0000_s1058" style="width:14.65pt;height:15.35pt;margin-top:11.95pt;margin-left:47.6pt;mso-height-percent:0;mso-height-relative:page;mso-width-percent:0;mso-width-relative:page;mso-wrap-distance-bottom:0;mso-wrap-distance-left:9pt;mso-wrap-distance-right:9pt;mso-wrap-distance-top:0;mso-wrap-style:square;position:absolute;v-text-anchor:top;visibility:visible;z-index:251735040" strokeweight="1.5pt"/>
                  </w:pict>
                </mc:Fallback>
              </mc:AlternateContent>
            </w:r>
          </w:p>
        </w:tc>
      </w:tr>
      <w:tr w:rsidR="003A674C" w14:paraId="5BA6AA6B" w14:textId="77777777" w:rsidTr="00015216">
        <w:trPr>
          <w:trHeight w:val="122"/>
        </w:trPr>
        <w:tc>
          <w:tcPr>
            <w:tcW w:w="6929" w:type="dxa"/>
            <w:shd w:val="clear" w:color="auto" w:fill="F1F5F9"/>
            <w:vAlign w:val="center"/>
          </w:tcPr>
          <w:p w14:paraId="0E9B39C6" w14:textId="77777777" w:rsidR="00015216" w:rsidRPr="00934E9A" w:rsidRDefault="0097469B" w:rsidP="00015216">
            <w:pPr>
              <w:pStyle w:val="ListParagraph"/>
              <w:spacing w:after="0"/>
              <w:ind w:left="0"/>
              <w:rPr>
                <w:sz w:val="24"/>
                <w:szCs w:val="24"/>
              </w:rPr>
            </w:pPr>
            <w:r>
              <w:rPr>
                <w:sz w:val="24"/>
                <w:szCs w:val="24"/>
              </w:rPr>
              <w:t xml:space="preserve">A </w:t>
            </w:r>
            <w:r w:rsidRPr="00E4753C">
              <w:rPr>
                <w:sz w:val="24"/>
                <w:szCs w:val="24"/>
              </w:rPr>
              <w:t>notice describing enrollment opportunities for children up to age 26 for plans with dependent coverage</w:t>
            </w:r>
          </w:p>
        </w:tc>
        <w:tc>
          <w:tcPr>
            <w:tcW w:w="2421" w:type="dxa"/>
            <w:shd w:val="clear" w:color="auto" w:fill="F1F5F9"/>
          </w:tcPr>
          <w:p w14:paraId="74041501" w14:textId="77777777" w:rsidR="00015216" w:rsidRPr="00934E9A" w:rsidRDefault="0097469B" w:rsidP="00015216">
            <w:pPr>
              <w:pStyle w:val="ListParagraph"/>
              <w:ind w:left="0"/>
              <w:rPr>
                <w:sz w:val="24"/>
                <w:szCs w:val="24"/>
              </w:rPr>
            </w:pPr>
            <w:r>
              <w:rPr>
                <w:noProof/>
                <w:sz w:val="24"/>
                <w:szCs w:val="24"/>
              </w:rPr>
              <mc:AlternateContent>
                <mc:Choice Requires="wps">
                  <w:drawing>
                    <wp:anchor distT="0" distB="0" distL="114300" distR="114300" simplePos="0" relativeHeight="251736064" behindDoc="0" locked="0" layoutInCell="1" allowOverlap="1" wp14:anchorId="5669FFF6" wp14:editId="3B8D68BE">
                      <wp:simplePos x="0" y="0"/>
                      <wp:positionH relativeFrom="column">
                        <wp:posOffset>604520</wp:posOffset>
                      </wp:positionH>
                      <wp:positionV relativeFrom="paragraph">
                        <wp:posOffset>158115</wp:posOffset>
                      </wp:positionV>
                      <wp:extent cx="186055" cy="194945"/>
                      <wp:effectExtent l="10160" t="17145" r="13335" b="16510"/>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055" cy="19494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5" o:spid="_x0000_s1059" style="width:14.65pt;height:15.35pt;margin-top:12.45pt;margin-left:47.6pt;mso-height-percent:0;mso-height-relative:page;mso-width-percent:0;mso-width-relative:page;mso-wrap-distance-bottom:0;mso-wrap-distance-left:9pt;mso-wrap-distance-right:9pt;mso-wrap-distance-top:0;mso-wrap-style:square;position:absolute;v-text-anchor:top;visibility:visible;z-index:251737088" strokeweight="1.5pt"/>
                  </w:pict>
                </mc:Fallback>
              </mc:AlternateContent>
            </w:r>
          </w:p>
        </w:tc>
      </w:tr>
    </w:tbl>
    <w:p w14:paraId="23E4A9CF" w14:textId="77777777" w:rsidR="003532D3" w:rsidRDefault="003532D3" w:rsidP="003532D3">
      <w:pPr>
        <w:pStyle w:val="ListParagraph"/>
        <w:ind w:left="0"/>
        <w:rPr>
          <w:sz w:val="24"/>
          <w:szCs w:val="24"/>
        </w:rPr>
      </w:pPr>
    </w:p>
    <w:p w14:paraId="165322FF" w14:textId="77777777" w:rsidR="003532D3" w:rsidRPr="00FF122F" w:rsidRDefault="0097469B" w:rsidP="003532D3">
      <w:pPr>
        <w:pStyle w:val="Heading1"/>
      </w:pPr>
      <w:r>
        <w:rPr>
          <w:sz w:val="24"/>
          <w:szCs w:val="24"/>
        </w:rPr>
        <w:br w:type="page"/>
      </w:r>
      <w:r w:rsidR="0003221A">
        <w:rPr>
          <w:noProof/>
        </w:rPr>
        <w:lastRenderedPageBreak/>
        <mc:AlternateContent>
          <mc:Choice Requires="wps">
            <w:drawing>
              <wp:anchor distT="0" distB="0" distL="114300" distR="114300" simplePos="0" relativeHeight="251670528" behindDoc="0" locked="0" layoutInCell="1" allowOverlap="1" wp14:anchorId="3AF81BD6" wp14:editId="5B50C046">
                <wp:simplePos x="0" y="0"/>
                <wp:positionH relativeFrom="column">
                  <wp:posOffset>3810</wp:posOffset>
                </wp:positionH>
                <wp:positionV relativeFrom="paragraph">
                  <wp:posOffset>306705</wp:posOffset>
                </wp:positionV>
                <wp:extent cx="5943600" cy="0"/>
                <wp:effectExtent l="13335" t="11430" r="5715" b="7620"/>
                <wp:wrapNone/>
                <wp:docPr id="8"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60" type="#_x0000_t32" style="width:468pt;height:0;margin-top:24.15pt;margin-left:0.3pt;mso-height-percent:0;mso-height-relative:page;mso-width-percent:0;mso-width-relative:page;mso-wrap-distance-bottom:0;mso-wrap-distance-left:9pt;mso-wrap-distance-right:9pt;mso-wrap-distance-top:0;mso-wrap-style:square;position:absolute;visibility:visible;z-index:251671552" strokecolor="#548dd4"/>
            </w:pict>
          </mc:Fallback>
        </mc:AlternateContent>
      </w:r>
      <w:r w:rsidR="0003221A">
        <w:rPr>
          <w:noProof/>
        </w:rPr>
        <mc:AlternateContent>
          <mc:Choice Requires="wps">
            <w:drawing>
              <wp:anchor distT="0" distB="0" distL="114300" distR="114300" simplePos="0" relativeHeight="251684864" behindDoc="0" locked="0" layoutInCell="1" allowOverlap="1" wp14:anchorId="43ED2DF9" wp14:editId="7D097C8D">
                <wp:simplePos x="0" y="0"/>
                <wp:positionH relativeFrom="column">
                  <wp:posOffset>1270</wp:posOffset>
                </wp:positionH>
                <wp:positionV relativeFrom="paragraph">
                  <wp:posOffset>298450</wp:posOffset>
                </wp:positionV>
                <wp:extent cx="1546860" cy="46355"/>
                <wp:effectExtent l="1270" t="3175" r="4445" b="0"/>
                <wp:wrapNone/>
                <wp:docPr id="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46355"/>
                        </a:xfrm>
                        <a:prstGeom prst="rect">
                          <a:avLst/>
                        </a:prstGeom>
                        <a:solidFill>
                          <a:srgbClr val="548DD4"/>
                        </a:solidFill>
                        <a:ln>
                          <a:noFill/>
                        </a:ln>
                        <a:extLst>
                          <a:ext uri="{91240B29-F687-4F45-9708-019B960494DF}">
                            <a14:hiddenLine xmlns:a14="http://schemas.microsoft.com/office/drawing/2010/main" w="9525">
                              <a:solidFill>
                                <a:srgbClr val="548DD4"/>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7" o:spid="_x0000_s1061" style="width:121.8pt;height:3.65pt;margin-top:23.5pt;margin-left:0.1pt;mso-height-percent:0;mso-height-relative:page;mso-width-percent:0;mso-width-relative:page;mso-wrap-distance-bottom:0;mso-wrap-distance-left:9pt;mso-wrap-distance-right:9pt;mso-wrap-distance-top:0;mso-wrap-style:square;position:absolute;v-text-anchor:top;visibility:visible;z-index:251685888" fillcolor="#548dd4" stroked="f" strokecolor="#548dd4"/>
            </w:pict>
          </mc:Fallback>
        </mc:AlternateContent>
      </w:r>
      <w:bookmarkStart w:id="21" w:name="_Toc256000008"/>
      <w:r>
        <w:t>AVAILABLE RESOURCES</w:t>
      </w:r>
      <w:bookmarkEnd w:id="21"/>
    </w:p>
    <w:p w14:paraId="0E725E57" w14:textId="77777777" w:rsidR="003532D3" w:rsidRDefault="0097469B" w:rsidP="003532D3">
      <w:pPr>
        <w:pStyle w:val="NoSpacing"/>
        <w:spacing w:after="200" w:line="276" w:lineRule="auto"/>
        <w:rPr>
          <w:b w:val="0"/>
        </w:rPr>
      </w:pPr>
      <w:r>
        <w:rPr>
          <w:b w:val="0"/>
        </w:rPr>
        <w:t>The following resources are available from InterWest Insurance Services, LLC regarding DOL audits and available correction programs:</w:t>
      </w:r>
    </w:p>
    <w:p w14:paraId="5499F0F1" w14:textId="77777777" w:rsidR="003532D3" w:rsidRPr="00697E91" w:rsidRDefault="0097469B" w:rsidP="00697E91">
      <w:pPr>
        <w:pStyle w:val="ListParagraph"/>
        <w:numPr>
          <w:ilvl w:val="0"/>
          <w:numId w:val="7"/>
        </w:numPr>
        <w:ind w:left="1080"/>
        <w:rPr>
          <w:b/>
          <w:sz w:val="24"/>
          <w:szCs w:val="24"/>
        </w:rPr>
      </w:pPr>
      <w:r>
        <w:rPr>
          <w:sz w:val="24"/>
          <w:szCs w:val="24"/>
        </w:rPr>
        <w:t>HR Insights: Handling a DOL Audit with Ease</w:t>
      </w:r>
    </w:p>
    <w:p w14:paraId="30BD3660" w14:textId="77777777" w:rsidR="003532D3" w:rsidRPr="00AA3160" w:rsidRDefault="0097469B" w:rsidP="003532D3">
      <w:pPr>
        <w:pStyle w:val="ListParagraph"/>
        <w:numPr>
          <w:ilvl w:val="0"/>
          <w:numId w:val="5"/>
        </w:numPr>
        <w:ind w:left="1080"/>
        <w:rPr>
          <w:b/>
          <w:sz w:val="24"/>
          <w:szCs w:val="24"/>
        </w:rPr>
      </w:pPr>
      <w:r>
        <w:rPr>
          <w:sz w:val="24"/>
          <w:szCs w:val="24"/>
        </w:rPr>
        <w:t>Benefits Insights: Employee Benefit Plan Audits—Common Mistakes</w:t>
      </w:r>
    </w:p>
    <w:p w14:paraId="65DBDF22" w14:textId="77777777" w:rsidR="003532D3" w:rsidRDefault="0097469B" w:rsidP="003532D3">
      <w:pPr>
        <w:pStyle w:val="ListParagraph"/>
        <w:numPr>
          <w:ilvl w:val="0"/>
          <w:numId w:val="5"/>
        </w:numPr>
        <w:ind w:left="1080"/>
        <w:rPr>
          <w:sz w:val="24"/>
          <w:szCs w:val="24"/>
        </w:rPr>
      </w:pPr>
      <w:r>
        <w:rPr>
          <w:sz w:val="24"/>
          <w:szCs w:val="24"/>
        </w:rPr>
        <w:t>FAQs on the Delinquent Filer Voluntary Co</w:t>
      </w:r>
      <w:r w:rsidR="005F6CD7">
        <w:rPr>
          <w:sz w:val="24"/>
          <w:szCs w:val="24"/>
        </w:rPr>
        <w:t>rrection</w:t>
      </w:r>
      <w:r>
        <w:rPr>
          <w:sz w:val="24"/>
          <w:szCs w:val="24"/>
        </w:rPr>
        <w:t xml:space="preserve"> Program</w:t>
      </w:r>
    </w:p>
    <w:p w14:paraId="3F0C0886" w14:textId="77777777" w:rsidR="003532D3" w:rsidRDefault="0097469B" w:rsidP="003532D3">
      <w:pPr>
        <w:pStyle w:val="ListParagraph"/>
        <w:numPr>
          <w:ilvl w:val="0"/>
          <w:numId w:val="5"/>
        </w:numPr>
        <w:ind w:left="1080"/>
        <w:rPr>
          <w:sz w:val="24"/>
          <w:szCs w:val="24"/>
        </w:rPr>
      </w:pPr>
      <w:r>
        <w:rPr>
          <w:sz w:val="24"/>
          <w:szCs w:val="24"/>
        </w:rPr>
        <w:t xml:space="preserve">Delinquent Filer Voluntary Compliance </w:t>
      </w:r>
      <w:r>
        <w:rPr>
          <w:sz w:val="24"/>
          <w:szCs w:val="24"/>
        </w:rPr>
        <w:t>Program (DFVCP)</w:t>
      </w:r>
    </w:p>
    <w:p w14:paraId="4BAFC91B" w14:textId="77777777" w:rsidR="003532D3" w:rsidRPr="00AA3160" w:rsidRDefault="0097469B" w:rsidP="003532D3">
      <w:pPr>
        <w:pStyle w:val="NoSpacing"/>
        <w:spacing w:after="200" w:line="276" w:lineRule="auto"/>
        <w:rPr>
          <w:b w:val="0"/>
        </w:rPr>
      </w:pPr>
      <w:r>
        <w:rPr>
          <w:b w:val="0"/>
        </w:rPr>
        <w:t>The following resources</w:t>
      </w:r>
      <w:r w:rsidRPr="00AA3160">
        <w:rPr>
          <w:b w:val="0"/>
        </w:rPr>
        <w:t xml:space="preserve"> </w:t>
      </w:r>
      <w:r>
        <w:rPr>
          <w:b w:val="0"/>
        </w:rPr>
        <w:t xml:space="preserve">are </w:t>
      </w:r>
      <w:r w:rsidRPr="00AA3160">
        <w:rPr>
          <w:b w:val="0"/>
        </w:rPr>
        <w:t xml:space="preserve">available from InterWest Insurance Services, LLC </w:t>
      </w:r>
      <w:r>
        <w:rPr>
          <w:b w:val="0"/>
        </w:rPr>
        <w:t>regarding compliance with federal employee benefit laws:</w:t>
      </w:r>
    </w:p>
    <w:p w14:paraId="31C2F524" w14:textId="77777777" w:rsidR="003532D3" w:rsidRPr="00627E1A" w:rsidRDefault="0097469B" w:rsidP="003532D3">
      <w:pPr>
        <w:pStyle w:val="ListParagraph"/>
        <w:numPr>
          <w:ilvl w:val="0"/>
          <w:numId w:val="5"/>
        </w:numPr>
        <w:ind w:left="1080"/>
        <w:rPr>
          <w:b/>
          <w:sz w:val="24"/>
          <w:szCs w:val="24"/>
        </w:rPr>
      </w:pPr>
      <w:r>
        <w:rPr>
          <w:sz w:val="24"/>
          <w:szCs w:val="24"/>
        </w:rPr>
        <w:t>Form 5500 Annual Return/Report of Employee Benefit Plan</w:t>
      </w:r>
    </w:p>
    <w:p w14:paraId="1F4321E0" w14:textId="77777777" w:rsidR="003532D3" w:rsidRPr="00913DB7" w:rsidRDefault="0097469B" w:rsidP="003532D3">
      <w:pPr>
        <w:pStyle w:val="ListParagraph"/>
        <w:numPr>
          <w:ilvl w:val="0"/>
          <w:numId w:val="5"/>
        </w:numPr>
        <w:ind w:left="1080"/>
        <w:rPr>
          <w:sz w:val="24"/>
          <w:szCs w:val="24"/>
        </w:rPr>
      </w:pPr>
      <w:r w:rsidRPr="00913DB7">
        <w:rPr>
          <w:sz w:val="24"/>
          <w:szCs w:val="24"/>
        </w:rPr>
        <w:t>Employee Benefit Compliance Chart: Notice and Disclosure Rules</w:t>
      </w:r>
    </w:p>
    <w:p w14:paraId="6D773FE6" w14:textId="77777777" w:rsidR="003532D3" w:rsidRDefault="0097469B" w:rsidP="003532D3">
      <w:pPr>
        <w:pStyle w:val="ListParagraph"/>
        <w:numPr>
          <w:ilvl w:val="0"/>
          <w:numId w:val="5"/>
        </w:numPr>
        <w:ind w:left="1080"/>
        <w:rPr>
          <w:sz w:val="24"/>
          <w:szCs w:val="24"/>
        </w:rPr>
      </w:pPr>
      <w:r>
        <w:rPr>
          <w:sz w:val="24"/>
          <w:szCs w:val="24"/>
        </w:rPr>
        <w:t>Employee Benefits Compliance Checklist for Small Employers</w:t>
      </w:r>
    </w:p>
    <w:p w14:paraId="12DB5D3C" w14:textId="77777777" w:rsidR="00B13090" w:rsidRDefault="0097469B" w:rsidP="003532D3">
      <w:pPr>
        <w:pStyle w:val="ListParagraph"/>
        <w:numPr>
          <w:ilvl w:val="0"/>
          <w:numId w:val="5"/>
        </w:numPr>
        <w:ind w:left="1080"/>
        <w:rPr>
          <w:sz w:val="24"/>
          <w:szCs w:val="24"/>
        </w:rPr>
      </w:pPr>
      <w:r>
        <w:rPr>
          <w:sz w:val="24"/>
          <w:szCs w:val="24"/>
        </w:rPr>
        <w:t>Employee Benefits Compliance Checklist for Large Employers</w:t>
      </w:r>
    </w:p>
    <w:p w14:paraId="049471E2" w14:textId="77777777" w:rsidR="003532D3" w:rsidRDefault="0097469B" w:rsidP="003532D3">
      <w:pPr>
        <w:pStyle w:val="ListParagraph"/>
        <w:numPr>
          <w:ilvl w:val="0"/>
          <w:numId w:val="5"/>
        </w:numPr>
        <w:ind w:left="1080"/>
        <w:rPr>
          <w:sz w:val="24"/>
          <w:szCs w:val="24"/>
        </w:rPr>
      </w:pPr>
      <w:r>
        <w:rPr>
          <w:sz w:val="24"/>
          <w:szCs w:val="24"/>
        </w:rPr>
        <w:t>Mental Health and Substance Use Disorder Benefits: Parity Requirements</w:t>
      </w:r>
    </w:p>
    <w:p w14:paraId="4DE1AF96" w14:textId="77777777" w:rsidR="003532D3" w:rsidRDefault="0097469B" w:rsidP="003532D3">
      <w:pPr>
        <w:pStyle w:val="ListParagraph"/>
        <w:numPr>
          <w:ilvl w:val="0"/>
          <w:numId w:val="5"/>
        </w:numPr>
        <w:ind w:left="1080"/>
        <w:rPr>
          <w:sz w:val="24"/>
          <w:szCs w:val="24"/>
        </w:rPr>
      </w:pPr>
      <w:r>
        <w:rPr>
          <w:sz w:val="24"/>
          <w:szCs w:val="24"/>
        </w:rPr>
        <w:t>HIPAA Portability Rules</w:t>
      </w:r>
    </w:p>
    <w:p w14:paraId="6619E814" w14:textId="77777777" w:rsidR="003532D3" w:rsidRDefault="0097469B" w:rsidP="003532D3">
      <w:pPr>
        <w:pStyle w:val="ListParagraph"/>
        <w:numPr>
          <w:ilvl w:val="0"/>
          <w:numId w:val="5"/>
        </w:numPr>
        <w:ind w:left="1080"/>
        <w:rPr>
          <w:sz w:val="24"/>
          <w:szCs w:val="24"/>
        </w:rPr>
      </w:pPr>
      <w:r>
        <w:rPr>
          <w:sz w:val="24"/>
          <w:szCs w:val="24"/>
        </w:rPr>
        <w:t>HIPAA Nondiscrimination Rules</w:t>
      </w:r>
    </w:p>
    <w:p w14:paraId="0AE93843" w14:textId="77777777" w:rsidR="00B13090" w:rsidRDefault="0097469B" w:rsidP="003532D3">
      <w:pPr>
        <w:pStyle w:val="ListParagraph"/>
        <w:numPr>
          <w:ilvl w:val="0"/>
          <w:numId w:val="5"/>
        </w:numPr>
        <w:ind w:left="1080"/>
        <w:rPr>
          <w:sz w:val="24"/>
          <w:szCs w:val="24"/>
        </w:rPr>
      </w:pPr>
      <w:r>
        <w:rPr>
          <w:sz w:val="24"/>
          <w:szCs w:val="24"/>
        </w:rPr>
        <w:t>HIPAA Special Enrollment Rights</w:t>
      </w:r>
    </w:p>
    <w:p w14:paraId="30201285" w14:textId="77777777" w:rsidR="003532D3" w:rsidRDefault="0097469B" w:rsidP="003532D3">
      <w:pPr>
        <w:pStyle w:val="ListParagraph"/>
        <w:numPr>
          <w:ilvl w:val="0"/>
          <w:numId w:val="5"/>
        </w:numPr>
        <w:ind w:left="1080"/>
        <w:rPr>
          <w:sz w:val="24"/>
          <w:szCs w:val="24"/>
        </w:rPr>
      </w:pPr>
      <w:r>
        <w:rPr>
          <w:sz w:val="24"/>
          <w:szCs w:val="24"/>
        </w:rPr>
        <w:t>Newborns’ and Mothers’ Health Protection Act</w:t>
      </w:r>
    </w:p>
    <w:p w14:paraId="59734A49" w14:textId="77777777" w:rsidR="003532D3" w:rsidRDefault="0097469B" w:rsidP="003532D3">
      <w:pPr>
        <w:pStyle w:val="ListParagraph"/>
        <w:numPr>
          <w:ilvl w:val="0"/>
          <w:numId w:val="5"/>
        </w:numPr>
        <w:ind w:left="1080"/>
        <w:rPr>
          <w:sz w:val="24"/>
          <w:szCs w:val="24"/>
        </w:rPr>
      </w:pPr>
      <w:r>
        <w:rPr>
          <w:sz w:val="24"/>
          <w:szCs w:val="24"/>
        </w:rPr>
        <w:t>Women’s Health and Cancer Rights Act</w:t>
      </w:r>
    </w:p>
    <w:p w14:paraId="36F5C7C8" w14:textId="77777777" w:rsidR="00B13090" w:rsidRDefault="0097469B" w:rsidP="003532D3">
      <w:pPr>
        <w:pStyle w:val="ListParagraph"/>
        <w:numPr>
          <w:ilvl w:val="0"/>
          <w:numId w:val="5"/>
        </w:numPr>
        <w:ind w:left="1080"/>
        <w:rPr>
          <w:sz w:val="24"/>
          <w:szCs w:val="24"/>
        </w:rPr>
      </w:pPr>
      <w:r>
        <w:rPr>
          <w:sz w:val="24"/>
          <w:szCs w:val="24"/>
        </w:rPr>
        <w:t xml:space="preserve">The Children’s Health Insurance Program Reauthorization Act </w:t>
      </w:r>
      <w:r w:rsidR="0021208D">
        <w:rPr>
          <w:sz w:val="24"/>
          <w:szCs w:val="24"/>
        </w:rPr>
        <w:t>(CHIPRA)</w:t>
      </w:r>
    </w:p>
    <w:p w14:paraId="0DFE27C4" w14:textId="77777777" w:rsidR="003532D3" w:rsidRDefault="0097469B" w:rsidP="003532D3">
      <w:pPr>
        <w:pStyle w:val="ListParagraph"/>
        <w:numPr>
          <w:ilvl w:val="0"/>
          <w:numId w:val="5"/>
        </w:numPr>
        <w:ind w:left="1080"/>
        <w:rPr>
          <w:sz w:val="24"/>
          <w:szCs w:val="24"/>
        </w:rPr>
      </w:pPr>
      <w:r>
        <w:rPr>
          <w:sz w:val="24"/>
          <w:szCs w:val="24"/>
        </w:rPr>
        <w:t>Affordable Care Act Toolkit—Small Employers</w:t>
      </w:r>
    </w:p>
    <w:p w14:paraId="6A483117" w14:textId="77777777" w:rsidR="003532D3" w:rsidRDefault="0097469B" w:rsidP="003532D3">
      <w:pPr>
        <w:pStyle w:val="ListParagraph"/>
        <w:numPr>
          <w:ilvl w:val="0"/>
          <w:numId w:val="5"/>
        </w:numPr>
        <w:ind w:left="1080"/>
        <w:rPr>
          <w:sz w:val="24"/>
          <w:szCs w:val="24"/>
        </w:rPr>
      </w:pPr>
      <w:r>
        <w:rPr>
          <w:sz w:val="24"/>
          <w:szCs w:val="24"/>
        </w:rPr>
        <w:t>Affordable Care Act Toolkit—Large Employers</w:t>
      </w:r>
    </w:p>
    <w:p w14:paraId="6E90239B" w14:textId="77777777" w:rsidR="00B13090" w:rsidRPr="001E70FC" w:rsidRDefault="0097469B" w:rsidP="003532D3">
      <w:pPr>
        <w:pStyle w:val="ListParagraph"/>
        <w:numPr>
          <w:ilvl w:val="0"/>
          <w:numId w:val="5"/>
        </w:numPr>
        <w:ind w:left="1080"/>
        <w:rPr>
          <w:sz w:val="24"/>
          <w:szCs w:val="24"/>
        </w:rPr>
      </w:pPr>
      <w:r w:rsidRPr="001E70FC">
        <w:rPr>
          <w:sz w:val="24"/>
          <w:szCs w:val="24"/>
        </w:rPr>
        <w:t>ERISA Compliance FAQs: Reporting and Disclosure Rules</w:t>
      </w:r>
    </w:p>
    <w:p w14:paraId="2AB2F2DC" w14:textId="77777777" w:rsidR="00B13090" w:rsidRDefault="0097469B" w:rsidP="003532D3">
      <w:pPr>
        <w:pStyle w:val="ListParagraph"/>
        <w:numPr>
          <w:ilvl w:val="0"/>
          <w:numId w:val="5"/>
        </w:numPr>
        <w:ind w:left="1080"/>
        <w:rPr>
          <w:sz w:val="24"/>
          <w:szCs w:val="24"/>
        </w:rPr>
      </w:pPr>
      <w:r>
        <w:rPr>
          <w:sz w:val="24"/>
          <w:szCs w:val="24"/>
        </w:rPr>
        <w:t>ERISA Compliance FAQs: Fiduciary Responsibilities</w:t>
      </w:r>
    </w:p>
    <w:p w14:paraId="2E1BBE03" w14:textId="77777777" w:rsidR="00B13090" w:rsidRDefault="0097469B" w:rsidP="003532D3">
      <w:pPr>
        <w:pStyle w:val="ListParagraph"/>
        <w:numPr>
          <w:ilvl w:val="0"/>
          <w:numId w:val="5"/>
        </w:numPr>
        <w:ind w:left="1080"/>
        <w:rPr>
          <w:sz w:val="24"/>
          <w:szCs w:val="24"/>
        </w:rPr>
      </w:pPr>
      <w:r>
        <w:rPr>
          <w:sz w:val="24"/>
          <w:szCs w:val="24"/>
        </w:rPr>
        <w:t>ERISA Compliance FAQs: Enforcement</w:t>
      </w:r>
    </w:p>
    <w:p w14:paraId="795535A1" w14:textId="77777777" w:rsidR="003532D3" w:rsidRPr="000C1AD3" w:rsidRDefault="0097469B" w:rsidP="000C1AD3">
      <w:pPr>
        <w:pStyle w:val="Heading1"/>
      </w:pPr>
      <w:r>
        <w:rPr>
          <w:sz w:val="24"/>
          <w:szCs w:val="24"/>
        </w:rPr>
        <w:br w:type="page"/>
      </w:r>
      <w:bookmarkStart w:id="22" w:name="_Toc256000009"/>
      <w:r w:rsidR="000C1AD3">
        <w:lastRenderedPageBreak/>
        <w:t>SAMPLE DOCUMENTS</w:t>
      </w:r>
      <w:bookmarkEnd w:id="22"/>
      <w:r w:rsidR="0003221A">
        <w:rPr>
          <w:b w:val="0"/>
          <w:noProof/>
          <w:szCs w:val="40"/>
        </w:rPr>
        <mc:AlternateContent>
          <mc:Choice Requires="wps">
            <w:drawing>
              <wp:anchor distT="0" distB="0" distL="114300" distR="114300" simplePos="0" relativeHeight="251682816" behindDoc="0" locked="0" layoutInCell="1" allowOverlap="1" wp14:anchorId="6FFC17EB" wp14:editId="352E8563">
                <wp:simplePos x="0" y="0"/>
                <wp:positionH relativeFrom="column">
                  <wp:posOffset>-9525</wp:posOffset>
                </wp:positionH>
                <wp:positionV relativeFrom="paragraph">
                  <wp:posOffset>309880</wp:posOffset>
                </wp:positionV>
                <wp:extent cx="5943600" cy="0"/>
                <wp:effectExtent l="9525" t="5080" r="9525" b="13970"/>
                <wp:wrapNone/>
                <wp:docPr id="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62" type="#_x0000_t32" style="width:468pt;height:0;margin-top:24.4pt;margin-left:-0.75pt;mso-height-percent:0;mso-height-relative:page;mso-width-percent:0;mso-width-relative:page;mso-wrap-distance-bottom:0;mso-wrap-distance-left:9pt;mso-wrap-distance-right:9pt;mso-wrap-distance-top:0;mso-wrap-style:square;position:absolute;visibility:visible;z-index:251683840" strokecolor="#548dd4"/>
            </w:pict>
          </mc:Fallback>
        </mc:AlternateContent>
      </w:r>
      <w:r w:rsidR="0003221A">
        <w:rPr>
          <w:b w:val="0"/>
          <w:noProof/>
          <w:szCs w:val="40"/>
        </w:rPr>
        <mc:AlternateContent>
          <mc:Choice Requires="wps">
            <w:drawing>
              <wp:anchor distT="0" distB="0" distL="114300" distR="114300" simplePos="0" relativeHeight="251686912" behindDoc="0" locked="0" layoutInCell="1" allowOverlap="1" wp14:anchorId="54BFF9E9" wp14:editId="63E33C67">
                <wp:simplePos x="0" y="0"/>
                <wp:positionH relativeFrom="column">
                  <wp:posOffset>1270</wp:posOffset>
                </wp:positionH>
                <wp:positionV relativeFrom="paragraph">
                  <wp:posOffset>298450</wp:posOffset>
                </wp:positionV>
                <wp:extent cx="1546860" cy="46355"/>
                <wp:effectExtent l="1270" t="3175" r="4445" b="0"/>
                <wp:wrapNone/>
                <wp:docPr id="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46355"/>
                        </a:xfrm>
                        <a:prstGeom prst="rect">
                          <a:avLst/>
                        </a:prstGeom>
                        <a:solidFill>
                          <a:srgbClr val="548DD4"/>
                        </a:solidFill>
                        <a:ln>
                          <a:noFill/>
                        </a:ln>
                        <a:extLst>
                          <a:ext uri="{91240B29-F687-4F45-9708-019B960494DF}">
                            <a14:hiddenLine xmlns:a14="http://schemas.microsoft.com/office/drawing/2010/main" w="9525">
                              <a:solidFill>
                                <a:srgbClr val="548DD4"/>
                              </a:solidFill>
                              <a:miter lim="800000"/>
                              <a:headEnd/>
                              <a:tailEnd/>
                            </a14:hiddenLine>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39" o:spid="_x0000_s1063" style="width:121.8pt;height:3.65pt;margin-top:23.5pt;margin-left:0.1pt;mso-height-percent:0;mso-height-relative:page;mso-width-percent:0;mso-width-relative:page;mso-wrap-distance-bottom:0;mso-wrap-distance-left:9pt;mso-wrap-distance-right:9pt;mso-wrap-distance-top:0;mso-wrap-style:square;position:absolute;v-text-anchor:top;visibility:visible;z-index:251687936" fillcolor="#548dd4" stroked="f" strokecolor="#548dd4"/>
            </w:pict>
          </mc:Fallback>
        </mc:AlternateContent>
      </w:r>
    </w:p>
    <w:p w14:paraId="54F758B3" w14:textId="77777777" w:rsidR="003532D3" w:rsidRDefault="0097469B" w:rsidP="003532D3">
      <w:pPr>
        <w:rPr>
          <w:sz w:val="24"/>
          <w:szCs w:val="24"/>
        </w:rPr>
      </w:pPr>
      <w:r>
        <w:rPr>
          <w:sz w:val="24"/>
          <w:szCs w:val="24"/>
        </w:rPr>
        <w:t>Health plan sponsors may use the sample documents on the following pages as a guide when crafting their health plan compliance documents. Many of these documents must be customized prior to being used. The following sample documents are provided:</w:t>
      </w:r>
    </w:p>
    <w:p w14:paraId="3012A491" w14:textId="77777777" w:rsidR="003532D3" w:rsidRDefault="0097469B" w:rsidP="003532D3">
      <w:pPr>
        <w:numPr>
          <w:ilvl w:val="0"/>
          <w:numId w:val="29"/>
        </w:numPr>
        <w:spacing w:after="120" w:line="240" w:lineRule="auto"/>
        <w:rPr>
          <w:sz w:val="24"/>
          <w:szCs w:val="24"/>
        </w:rPr>
      </w:pPr>
      <w:r>
        <w:rPr>
          <w:sz w:val="24"/>
          <w:szCs w:val="24"/>
        </w:rPr>
        <w:t>Newborns’ and Mothers’ Health Protection Act notice</w:t>
      </w:r>
    </w:p>
    <w:p w14:paraId="56402AD6" w14:textId="77777777" w:rsidR="003532D3" w:rsidRDefault="0097469B" w:rsidP="003532D3">
      <w:pPr>
        <w:numPr>
          <w:ilvl w:val="0"/>
          <w:numId w:val="29"/>
        </w:numPr>
        <w:spacing w:after="120" w:line="240" w:lineRule="auto"/>
        <w:rPr>
          <w:sz w:val="24"/>
          <w:szCs w:val="24"/>
        </w:rPr>
      </w:pPr>
      <w:r w:rsidRPr="00B069B3">
        <w:rPr>
          <w:sz w:val="24"/>
          <w:szCs w:val="24"/>
        </w:rPr>
        <w:t>Women’s Health and Cancer Rights Act—enrollment notice and annual notice</w:t>
      </w:r>
    </w:p>
    <w:p w14:paraId="76B83D9D" w14:textId="77777777" w:rsidR="003532D3" w:rsidRDefault="0097469B" w:rsidP="003532D3">
      <w:pPr>
        <w:numPr>
          <w:ilvl w:val="0"/>
          <w:numId w:val="29"/>
        </w:numPr>
        <w:spacing w:after="120" w:line="240" w:lineRule="auto"/>
        <w:rPr>
          <w:sz w:val="24"/>
          <w:szCs w:val="24"/>
        </w:rPr>
      </w:pPr>
      <w:r w:rsidRPr="00B069B3">
        <w:rPr>
          <w:sz w:val="24"/>
          <w:szCs w:val="24"/>
        </w:rPr>
        <w:t>Notice of Grandfathered Status</w:t>
      </w:r>
    </w:p>
    <w:p w14:paraId="1520A321" w14:textId="77777777" w:rsidR="003532D3" w:rsidRDefault="0097469B" w:rsidP="003532D3">
      <w:pPr>
        <w:numPr>
          <w:ilvl w:val="0"/>
          <w:numId w:val="29"/>
        </w:numPr>
        <w:spacing w:after="120" w:line="240" w:lineRule="auto"/>
        <w:rPr>
          <w:sz w:val="24"/>
          <w:szCs w:val="24"/>
        </w:rPr>
      </w:pPr>
      <w:r w:rsidRPr="00B069B3">
        <w:rPr>
          <w:sz w:val="24"/>
          <w:szCs w:val="24"/>
        </w:rPr>
        <w:t>Notice of Patient Protections</w:t>
      </w:r>
    </w:p>
    <w:p w14:paraId="201EDC77" w14:textId="77777777" w:rsidR="003532D3" w:rsidRDefault="0097469B" w:rsidP="003532D3">
      <w:pPr>
        <w:numPr>
          <w:ilvl w:val="0"/>
          <w:numId w:val="29"/>
        </w:numPr>
        <w:spacing w:after="120" w:line="240" w:lineRule="auto"/>
        <w:rPr>
          <w:sz w:val="24"/>
          <w:szCs w:val="24"/>
        </w:rPr>
      </w:pPr>
      <w:r w:rsidRPr="00B069B3">
        <w:rPr>
          <w:sz w:val="24"/>
          <w:szCs w:val="24"/>
        </w:rPr>
        <w:t>COBRA Notices</w:t>
      </w:r>
    </w:p>
    <w:p w14:paraId="5AFC92E7" w14:textId="77777777" w:rsidR="003532D3" w:rsidRDefault="0097469B" w:rsidP="003532D3">
      <w:pPr>
        <w:numPr>
          <w:ilvl w:val="1"/>
          <w:numId w:val="29"/>
        </w:numPr>
        <w:spacing w:after="120" w:line="240" w:lineRule="auto"/>
        <w:rPr>
          <w:sz w:val="24"/>
          <w:szCs w:val="24"/>
        </w:rPr>
      </w:pPr>
      <w:r w:rsidRPr="00B069B3">
        <w:rPr>
          <w:sz w:val="24"/>
          <w:szCs w:val="24"/>
        </w:rPr>
        <w:t>General Notice</w:t>
      </w:r>
    </w:p>
    <w:p w14:paraId="269C814F" w14:textId="77777777" w:rsidR="003532D3" w:rsidRDefault="0097469B" w:rsidP="003532D3">
      <w:pPr>
        <w:numPr>
          <w:ilvl w:val="1"/>
          <w:numId w:val="29"/>
        </w:numPr>
        <w:spacing w:after="120" w:line="240" w:lineRule="auto"/>
        <w:rPr>
          <w:sz w:val="24"/>
          <w:szCs w:val="24"/>
        </w:rPr>
      </w:pPr>
      <w:r w:rsidRPr="00B069B3">
        <w:rPr>
          <w:sz w:val="24"/>
          <w:szCs w:val="24"/>
        </w:rPr>
        <w:t>Election Notice</w:t>
      </w:r>
    </w:p>
    <w:p w14:paraId="5D1981EC" w14:textId="77777777" w:rsidR="003532D3" w:rsidRDefault="0097469B" w:rsidP="003532D3">
      <w:pPr>
        <w:numPr>
          <w:ilvl w:val="1"/>
          <w:numId w:val="29"/>
        </w:numPr>
        <w:spacing w:after="120" w:line="240" w:lineRule="auto"/>
        <w:rPr>
          <w:sz w:val="24"/>
          <w:szCs w:val="24"/>
        </w:rPr>
      </w:pPr>
      <w:r w:rsidRPr="00B069B3">
        <w:rPr>
          <w:sz w:val="24"/>
          <w:szCs w:val="24"/>
        </w:rPr>
        <w:t>Notice of Unavailability of COBRA Coverage</w:t>
      </w:r>
    </w:p>
    <w:p w14:paraId="369A2CDA" w14:textId="77777777" w:rsidR="003532D3" w:rsidRDefault="0097469B" w:rsidP="003532D3">
      <w:pPr>
        <w:numPr>
          <w:ilvl w:val="1"/>
          <w:numId w:val="29"/>
        </w:numPr>
        <w:spacing w:after="120" w:line="240" w:lineRule="auto"/>
        <w:rPr>
          <w:sz w:val="24"/>
          <w:szCs w:val="24"/>
        </w:rPr>
      </w:pPr>
      <w:r w:rsidRPr="00B069B3">
        <w:rPr>
          <w:sz w:val="24"/>
          <w:szCs w:val="24"/>
        </w:rPr>
        <w:t xml:space="preserve">Notice of Early Termination of COBRA Coverage </w:t>
      </w:r>
    </w:p>
    <w:p w14:paraId="53B7732C" w14:textId="77777777" w:rsidR="003532D3" w:rsidRDefault="0097469B" w:rsidP="003532D3">
      <w:pPr>
        <w:numPr>
          <w:ilvl w:val="0"/>
          <w:numId w:val="29"/>
        </w:numPr>
        <w:spacing w:after="120" w:line="240" w:lineRule="auto"/>
        <w:rPr>
          <w:sz w:val="24"/>
          <w:szCs w:val="24"/>
        </w:rPr>
      </w:pPr>
      <w:r w:rsidRPr="00B069B3">
        <w:rPr>
          <w:sz w:val="24"/>
          <w:szCs w:val="24"/>
        </w:rPr>
        <w:t>HIPAA Notices</w:t>
      </w:r>
    </w:p>
    <w:p w14:paraId="3FCA3FDE" w14:textId="77777777" w:rsidR="003532D3" w:rsidRDefault="0097469B" w:rsidP="003532D3">
      <w:pPr>
        <w:numPr>
          <w:ilvl w:val="1"/>
          <w:numId w:val="29"/>
        </w:numPr>
        <w:spacing w:after="120" w:line="240" w:lineRule="auto"/>
        <w:rPr>
          <w:sz w:val="24"/>
          <w:szCs w:val="24"/>
        </w:rPr>
      </w:pPr>
      <w:r w:rsidRPr="00B069B3">
        <w:rPr>
          <w:sz w:val="24"/>
          <w:szCs w:val="24"/>
        </w:rPr>
        <w:t>Special Enrollment Notice</w:t>
      </w:r>
    </w:p>
    <w:p w14:paraId="4D00FC2B" w14:textId="77777777" w:rsidR="003532D3" w:rsidRDefault="0097469B" w:rsidP="003532D3">
      <w:pPr>
        <w:spacing w:after="120"/>
        <w:rPr>
          <w:sz w:val="24"/>
          <w:szCs w:val="24"/>
        </w:rPr>
      </w:pPr>
      <w:r>
        <w:rPr>
          <w:sz w:val="24"/>
          <w:szCs w:val="24"/>
        </w:rPr>
        <w:t xml:space="preserve">Also, the DOL has provided the following model </w:t>
      </w:r>
      <w:r w:rsidRPr="00A770BD">
        <w:rPr>
          <w:b/>
          <w:sz w:val="24"/>
          <w:szCs w:val="24"/>
        </w:rPr>
        <w:t>Exchange Notices</w:t>
      </w:r>
      <w:r>
        <w:rPr>
          <w:sz w:val="24"/>
          <w:szCs w:val="24"/>
        </w:rPr>
        <w:t>:</w:t>
      </w:r>
    </w:p>
    <w:p w14:paraId="39D6D344" w14:textId="77777777" w:rsidR="003532D3" w:rsidRDefault="0097469B" w:rsidP="003532D3">
      <w:pPr>
        <w:pStyle w:val="BodyText"/>
        <w:numPr>
          <w:ilvl w:val="0"/>
          <w:numId w:val="9"/>
        </w:numPr>
        <w:tabs>
          <w:tab w:val="clear" w:pos="10440"/>
        </w:tabs>
        <w:spacing w:after="120"/>
        <w:rPr>
          <w:rFonts w:ascii="Calibri" w:hAnsi="Calibri" w:cs="Calibri"/>
          <w:sz w:val="24"/>
          <w:szCs w:val="24"/>
        </w:rPr>
      </w:pPr>
      <w:hyperlink r:id="rId8" w:history="1">
        <w:r w:rsidRPr="001D7858">
          <w:rPr>
            <w:rStyle w:val="Hyperlink"/>
            <w:rFonts w:ascii="Calibri" w:hAnsi="Calibri" w:cs="Calibri"/>
            <w:sz w:val="24"/>
            <w:szCs w:val="24"/>
          </w:rPr>
          <w:t>Model Notice to Employees of Coverage Options</w:t>
        </w:r>
      </w:hyperlink>
      <w:r w:rsidRPr="001D7858">
        <w:rPr>
          <w:rFonts w:ascii="Calibri" w:hAnsi="Calibri" w:cs="Calibri"/>
          <w:sz w:val="24"/>
          <w:szCs w:val="24"/>
        </w:rPr>
        <w:t xml:space="preserve"> for employers </w:t>
      </w:r>
      <w:r>
        <w:rPr>
          <w:rFonts w:ascii="Calibri" w:hAnsi="Calibri" w:cs="Calibri"/>
          <w:sz w:val="24"/>
          <w:szCs w:val="24"/>
        </w:rPr>
        <w:t>that</w:t>
      </w:r>
      <w:r w:rsidRPr="001D7858">
        <w:rPr>
          <w:rFonts w:ascii="Calibri" w:hAnsi="Calibri" w:cs="Calibri"/>
          <w:sz w:val="24"/>
          <w:szCs w:val="24"/>
        </w:rPr>
        <w:t xml:space="preserve"> do not offer a health plan; and</w:t>
      </w:r>
    </w:p>
    <w:p w14:paraId="0173A2C9" w14:textId="77777777" w:rsidR="003532D3" w:rsidRDefault="0097469B" w:rsidP="003532D3">
      <w:pPr>
        <w:pStyle w:val="BodyText"/>
        <w:numPr>
          <w:ilvl w:val="0"/>
          <w:numId w:val="9"/>
        </w:numPr>
        <w:tabs>
          <w:tab w:val="clear" w:pos="10440"/>
        </w:tabs>
        <w:spacing w:after="120"/>
        <w:rPr>
          <w:rFonts w:ascii="Calibri" w:hAnsi="Calibri" w:cs="Calibri"/>
          <w:sz w:val="24"/>
          <w:szCs w:val="24"/>
        </w:rPr>
      </w:pPr>
      <w:hyperlink r:id="rId9" w:history="1">
        <w:r w:rsidRPr="00A770BD">
          <w:rPr>
            <w:rStyle w:val="Hyperlink"/>
            <w:rFonts w:ascii="Calibri" w:hAnsi="Calibri" w:cs="Calibri"/>
            <w:sz w:val="24"/>
            <w:szCs w:val="24"/>
          </w:rPr>
          <w:t>Model Notice to Employees of Coverage Options</w:t>
        </w:r>
      </w:hyperlink>
      <w:r w:rsidRPr="00A770BD">
        <w:rPr>
          <w:rFonts w:ascii="Calibri" w:hAnsi="Calibri" w:cs="Calibri"/>
          <w:sz w:val="24"/>
          <w:szCs w:val="24"/>
        </w:rPr>
        <w:t xml:space="preserve"> for employers </w:t>
      </w:r>
      <w:r>
        <w:rPr>
          <w:rFonts w:ascii="Calibri" w:hAnsi="Calibri" w:cs="Calibri"/>
          <w:sz w:val="24"/>
          <w:szCs w:val="24"/>
        </w:rPr>
        <w:t>that</w:t>
      </w:r>
      <w:r w:rsidRPr="00A770BD">
        <w:rPr>
          <w:rFonts w:ascii="Calibri" w:hAnsi="Calibri" w:cs="Calibri"/>
          <w:sz w:val="24"/>
          <w:szCs w:val="24"/>
        </w:rPr>
        <w:t xml:space="preserve"> offer a health plan to some or all employees.</w:t>
      </w:r>
    </w:p>
    <w:p w14:paraId="4C38ACA5" w14:textId="77777777" w:rsidR="00BB647A" w:rsidRDefault="0097469B" w:rsidP="00BB647A">
      <w:pPr>
        <w:pStyle w:val="BodyText"/>
        <w:tabs>
          <w:tab w:val="clear" w:pos="10440"/>
        </w:tabs>
        <w:spacing w:after="120"/>
        <w:rPr>
          <w:rFonts w:ascii="Calibri" w:hAnsi="Calibri" w:cs="Calibri"/>
          <w:sz w:val="24"/>
          <w:szCs w:val="24"/>
        </w:rPr>
      </w:pPr>
      <w:r>
        <w:rPr>
          <w:rFonts w:ascii="Calibri" w:hAnsi="Calibri" w:cs="Calibri"/>
          <w:sz w:val="24"/>
          <w:szCs w:val="24"/>
        </w:rPr>
        <w:t xml:space="preserve">The DOL has provided the following </w:t>
      </w:r>
      <w:r w:rsidRPr="00BB647A">
        <w:rPr>
          <w:rFonts w:ascii="Calibri" w:hAnsi="Calibri" w:cs="Calibri"/>
          <w:b/>
          <w:sz w:val="24"/>
          <w:szCs w:val="24"/>
        </w:rPr>
        <w:t>model CHIP notice</w:t>
      </w:r>
      <w:r>
        <w:rPr>
          <w:rFonts w:ascii="Calibri" w:hAnsi="Calibri" w:cs="Calibri"/>
          <w:sz w:val="24"/>
          <w:szCs w:val="24"/>
        </w:rPr>
        <w:t>:</w:t>
      </w:r>
    </w:p>
    <w:p w14:paraId="3544158D" w14:textId="77777777" w:rsidR="00BB647A" w:rsidRPr="00A770BD" w:rsidRDefault="0097469B" w:rsidP="00BB647A">
      <w:pPr>
        <w:pStyle w:val="BodyText"/>
        <w:numPr>
          <w:ilvl w:val="0"/>
          <w:numId w:val="35"/>
        </w:numPr>
        <w:tabs>
          <w:tab w:val="clear" w:pos="10440"/>
        </w:tabs>
        <w:spacing w:after="120"/>
        <w:rPr>
          <w:rFonts w:ascii="Calibri" w:hAnsi="Calibri" w:cs="Calibri"/>
          <w:sz w:val="24"/>
          <w:szCs w:val="24"/>
        </w:rPr>
      </w:pPr>
      <w:hyperlink r:id="rId10" w:history="1">
        <w:r w:rsidRPr="00BB647A">
          <w:rPr>
            <w:rStyle w:val="Hyperlink"/>
            <w:rFonts w:ascii="Calibri" w:hAnsi="Calibri" w:cs="Calibri"/>
            <w:sz w:val="24"/>
            <w:szCs w:val="24"/>
          </w:rPr>
          <w:t>Model Children’s Health Insurance Program (CHIP) notice</w:t>
        </w:r>
      </w:hyperlink>
      <w:r w:rsidR="003005D7">
        <w:rPr>
          <w:rFonts w:ascii="Calibri" w:hAnsi="Calibri" w:cs="Calibri"/>
          <w:sz w:val="24"/>
          <w:szCs w:val="24"/>
        </w:rPr>
        <w:t xml:space="preserve"> </w:t>
      </w:r>
    </w:p>
    <w:p w14:paraId="0FFB9ED6" w14:textId="77777777" w:rsidR="003532D3" w:rsidRDefault="0097469B" w:rsidP="003532D3">
      <w:pPr>
        <w:rPr>
          <w:sz w:val="24"/>
          <w:szCs w:val="24"/>
        </w:rPr>
      </w:pPr>
      <w:r>
        <w:rPr>
          <w:sz w:val="24"/>
          <w:szCs w:val="24"/>
        </w:rPr>
        <w:t>Contact InterWest Insurance Services, LLC for additional compliance documents, such as a sample SPD or a Summary of Benefits and Coverage template.</w:t>
      </w:r>
    </w:p>
    <w:p w14:paraId="43093EB3" w14:textId="77777777" w:rsidR="003532D3" w:rsidRPr="00DB1E57" w:rsidRDefault="003532D3" w:rsidP="003532D3">
      <w:pPr>
        <w:rPr>
          <w:b/>
          <w:color w:val="C00000"/>
          <w:sz w:val="28"/>
          <w:szCs w:val="28"/>
        </w:rPr>
        <w:sectPr w:rsidR="003532D3" w:rsidRPr="00DB1E57" w:rsidSect="003532D3">
          <w:headerReference w:type="default" r:id="rId11"/>
          <w:footerReference w:type="default" r:id="rId12"/>
          <w:headerReference w:type="first" r:id="rId13"/>
          <w:pgSz w:w="12240" w:h="15840"/>
          <w:pgMar w:top="1980" w:right="1440" w:bottom="1440" w:left="1440" w:header="720" w:footer="0" w:gutter="0"/>
          <w:pgNumType w:start="0"/>
          <w:cols w:space="720"/>
          <w:titlePg/>
          <w:docGrid w:linePitch="360"/>
        </w:sectPr>
      </w:pPr>
    </w:p>
    <w:p w14:paraId="54B73364" w14:textId="77777777" w:rsidR="003532D3" w:rsidRPr="00333BFC" w:rsidRDefault="0097469B" w:rsidP="00333BFC">
      <w:pPr>
        <w:jc w:val="center"/>
        <w:rPr>
          <w:b/>
          <w:bCs/>
          <w:sz w:val="28"/>
          <w:szCs w:val="28"/>
        </w:rPr>
      </w:pPr>
      <w:bookmarkStart w:id="23" w:name="_Toc373994753"/>
      <w:bookmarkStart w:id="24" w:name="_Toc373995557"/>
      <w:r w:rsidRPr="00333BFC">
        <w:rPr>
          <w:b/>
          <w:bCs/>
          <w:sz w:val="28"/>
          <w:szCs w:val="28"/>
        </w:rPr>
        <w:lastRenderedPageBreak/>
        <w:t>NEWBORNS’ AND MOTHER’S HEALTH PROTECTION ACT</w:t>
      </w:r>
    </w:p>
    <w:p w14:paraId="133B5F6B" w14:textId="77777777" w:rsidR="003532D3" w:rsidRPr="00333BFC" w:rsidRDefault="0097469B" w:rsidP="00333BFC">
      <w:pPr>
        <w:rPr>
          <w:sz w:val="24"/>
          <w:szCs w:val="24"/>
        </w:rPr>
      </w:pPr>
      <w:r w:rsidRPr="00333BFC">
        <w:rPr>
          <w:sz w:val="24"/>
          <w:szCs w:val="24"/>
        </w:rPr>
        <w:t xml:space="preserve">Group health plans and health insurance issuers generally may not, under federal law, restrict benefits for any hospital length of stay in connection with childbirth for the mother or newborn child to less than 48 hours following a vaginal delivery, or less than 96 hours following a cesarean section. However, federal law generally does not prohibit the mother’s or newborn’s attending provider, after consulting with the mother, from discharging the mother or her newborn earlier than 48 hours (or 96 hours as </w:t>
      </w:r>
      <w:r w:rsidRPr="00333BFC">
        <w:rPr>
          <w:sz w:val="24"/>
          <w:szCs w:val="24"/>
        </w:rPr>
        <w:t>applicable). In any case, plans and issuers may not, under federal law, require that a provider obtain authorization from the plan or the insurance issuer for prescribing a length of stay not in excess of 48 hours (or 96 hours).</w:t>
      </w:r>
    </w:p>
    <w:p w14:paraId="67C84869" w14:textId="77777777" w:rsidR="003532D3" w:rsidRDefault="003532D3" w:rsidP="003532D3">
      <w:pPr>
        <w:spacing w:after="120" w:line="240" w:lineRule="auto"/>
        <w:jc w:val="center"/>
        <w:outlineLvl w:val="0"/>
        <w:rPr>
          <w:rFonts w:ascii="Times New Roman" w:eastAsia="Times New Roman" w:hAnsi="Times New Roman"/>
          <w:sz w:val="24"/>
          <w:szCs w:val="24"/>
          <w:u w:val="single"/>
        </w:rPr>
        <w:sectPr w:rsidR="003532D3" w:rsidSect="003532D3">
          <w:headerReference w:type="first" r:id="rId14"/>
          <w:pgSz w:w="12240" w:h="15840"/>
          <w:pgMar w:top="1980" w:right="1440" w:bottom="1440" w:left="1440" w:header="720" w:footer="0" w:gutter="0"/>
          <w:pgNumType w:start="0"/>
          <w:cols w:space="720"/>
          <w:titlePg/>
          <w:docGrid w:linePitch="360"/>
        </w:sectPr>
      </w:pPr>
    </w:p>
    <w:p w14:paraId="098EDB5C" w14:textId="77777777" w:rsidR="003532D3" w:rsidRPr="00333BFC" w:rsidRDefault="0097469B" w:rsidP="00333BFC">
      <w:pPr>
        <w:jc w:val="center"/>
        <w:rPr>
          <w:b/>
          <w:bCs/>
          <w:sz w:val="28"/>
          <w:szCs w:val="28"/>
        </w:rPr>
      </w:pPr>
      <w:r w:rsidRPr="00333BFC">
        <w:rPr>
          <w:b/>
          <w:bCs/>
          <w:sz w:val="28"/>
          <w:szCs w:val="28"/>
        </w:rPr>
        <w:lastRenderedPageBreak/>
        <w:t>WOMEN’S HEALTH AND CANCER RIGHTS ACT</w:t>
      </w:r>
    </w:p>
    <w:p w14:paraId="48820B86" w14:textId="77777777" w:rsidR="003532D3" w:rsidRPr="00333BFC" w:rsidRDefault="0097469B" w:rsidP="00333BFC">
      <w:pPr>
        <w:rPr>
          <w:b/>
          <w:bCs/>
          <w:i/>
          <w:iCs/>
          <w:sz w:val="24"/>
          <w:szCs w:val="24"/>
          <w:u w:val="single"/>
        </w:rPr>
      </w:pPr>
      <w:r w:rsidRPr="00333BFC">
        <w:rPr>
          <w:b/>
          <w:bCs/>
          <w:i/>
          <w:iCs/>
          <w:sz w:val="24"/>
          <w:szCs w:val="24"/>
          <w:u w:val="single"/>
        </w:rPr>
        <w:t>Enrollment Notice</w:t>
      </w:r>
    </w:p>
    <w:p w14:paraId="4000E8E0" w14:textId="77777777" w:rsidR="003532D3" w:rsidRPr="00333BFC" w:rsidRDefault="0097469B" w:rsidP="00333BFC">
      <w:pPr>
        <w:rPr>
          <w:sz w:val="24"/>
          <w:szCs w:val="24"/>
        </w:rPr>
      </w:pPr>
      <w:r w:rsidRPr="00333BFC">
        <w:rPr>
          <w:sz w:val="24"/>
          <w:szCs w:val="24"/>
        </w:rPr>
        <w:t xml:space="preserve">If you have had or are going to have a mastectomy, you may be entitled to certain benefits under the Women’s Health and Cancer Rights Act of 1998 (WHCRA). For individuals receiving </w:t>
      </w:r>
      <w:r w:rsidRPr="00333BFC">
        <w:rPr>
          <w:sz w:val="24"/>
          <w:szCs w:val="24"/>
        </w:rPr>
        <w:t>mastectomy-related benefits, coverage will be provided in a manner determined in consultation with the attending physician and the patient, for:</w:t>
      </w:r>
    </w:p>
    <w:p w14:paraId="7DF2A101" w14:textId="77777777" w:rsidR="003532D3" w:rsidRPr="00333BFC" w:rsidRDefault="0097469B" w:rsidP="00333BFC">
      <w:pPr>
        <w:pStyle w:val="ListParagraph"/>
        <w:numPr>
          <w:ilvl w:val="0"/>
          <w:numId w:val="35"/>
        </w:numPr>
        <w:rPr>
          <w:sz w:val="24"/>
          <w:szCs w:val="24"/>
        </w:rPr>
      </w:pPr>
      <w:r w:rsidRPr="00333BFC">
        <w:rPr>
          <w:sz w:val="24"/>
          <w:szCs w:val="24"/>
        </w:rPr>
        <w:t>All stages of reconstruction of the breast on which the mastectomy was performed;</w:t>
      </w:r>
    </w:p>
    <w:p w14:paraId="60179614" w14:textId="77777777" w:rsidR="003532D3" w:rsidRPr="00333BFC" w:rsidRDefault="0097469B" w:rsidP="00333BFC">
      <w:pPr>
        <w:pStyle w:val="ListParagraph"/>
        <w:numPr>
          <w:ilvl w:val="0"/>
          <w:numId w:val="35"/>
        </w:numPr>
        <w:rPr>
          <w:sz w:val="24"/>
          <w:szCs w:val="24"/>
        </w:rPr>
      </w:pPr>
      <w:r w:rsidRPr="00333BFC">
        <w:rPr>
          <w:sz w:val="24"/>
          <w:szCs w:val="24"/>
        </w:rPr>
        <w:t>Surgery and reconstruction of the other breast to produce a symmetrical appearance;</w:t>
      </w:r>
    </w:p>
    <w:p w14:paraId="03E55AB5" w14:textId="77777777" w:rsidR="003532D3" w:rsidRPr="00333BFC" w:rsidRDefault="0097469B" w:rsidP="00333BFC">
      <w:pPr>
        <w:pStyle w:val="ListParagraph"/>
        <w:numPr>
          <w:ilvl w:val="0"/>
          <w:numId w:val="35"/>
        </w:numPr>
        <w:rPr>
          <w:sz w:val="24"/>
          <w:szCs w:val="24"/>
        </w:rPr>
      </w:pPr>
      <w:r w:rsidRPr="00333BFC">
        <w:rPr>
          <w:sz w:val="24"/>
          <w:szCs w:val="24"/>
        </w:rPr>
        <w:t>Prostheses; and</w:t>
      </w:r>
    </w:p>
    <w:p w14:paraId="10D57247" w14:textId="77777777" w:rsidR="003532D3" w:rsidRPr="00333BFC" w:rsidRDefault="0097469B" w:rsidP="00333BFC">
      <w:pPr>
        <w:pStyle w:val="ListParagraph"/>
        <w:numPr>
          <w:ilvl w:val="0"/>
          <w:numId w:val="35"/>
        </w:numPr>
        <w:rPr>
          <w:sz w:val="24"/>
          <w:szCs w:val="24"/>
        </w:rPr>
      </w:pPr>
      <w:r w:rsidRPr="00333BFC">
        <w:rPr>
          <w:sz w:val="24"/>
          <w:szCs w:val="24"/>
        </w:rPr>
        <w:t>Treatment of physical complications of the mastectomy, including lymphedema.</w:t>
      </w:r>
    </w:p>
    <w:p w14:paraId="678DBAD3" w14:textId="77777777" w:rsidR="003532D3" w:rsidRPr="00333BFC" w:rsidRDefault="0097469B" w:rsidP="00333BFC">
      <w:pPr>
        <w:rPr>
          <w:sz w:val="24"/>
          <w:szCs w:val="24"/>
        </w:rPr>
        <w:sectPr w:rsidR="003532D3" w:rsidRPr="00333BFC" w:rsidSect="003532D3">
          <w:pgSz w:w="12240" w:h="15840"/>
          <w:pgMar w:top="1980" w:right="1440" w:bottom="1440" w:left="1440" w:header="720" w:footer="0" w:gutter="0"/>
          <w:pgNumType w:start="0"/>
          <w:cols w:space="720"/>
          <w:titlePg/>
          <w:docGrid w:linePitch="360"/>
        </w:sectPr>
      </w:pPr>
      <w:r w:rsidRPr="00333BFC">
        <w:rPr>
          <w:sz w:val="24"/>
          <w:szCs w:val="24"/>
        </w:rPr>
        <w:t xml:space="preserve">These benefits will be provided subject to the same deductibles and coinsurance applicable to other medical and surgical benefits provided under this plan. Therefore, the following deductibles and coinsurance apply: </w:t>
      </w:r>
      <w:r w:rsidRPr="00333BFC">
        <w:rPr>
          <w:color w:val="FF0000"/>
          <w:sz w:val="24"/>
          <w:szCs w:val="24"/>
        </w:rPr>
        <w:t>[</w:t>
      </w:r>
      <w:r w:rsidRPr="00333BFC">
        <w:rPr>
          <w:i/>
          <w:color w:val="FF0000"/>
          <w:sz w:val="24"/>
          <w:szCs w:val="24"/>
        </w:rPr>
        <w:t>insert deductibles and coinsurance applicable to these benefits</w:t>
      </w:r>
      <w:r w:rsidRPr="00333BFC">
        <w:rPr>
          <w:color w:val="FF0000"/>
          <w:sz w:val="24"/>
          <w:szCs w:val="24"/>
        </w:rPr>
        <w:t>]</w:t>
      </w:r>
      <w:r w:rsidRPr="00333BFC">
        <w:rPr>
          <w:sz w:val="24"/>
          <w:szCs w:val="24"/>
        </w:rPr>
        <w:t xml:space="preserve">. If you would like more information on WHCRA benefits, call your plan administrator at </w:t>
      </w:r>
      <w:r w:rsidRPr="00333BFC">
        <w:rPr>
          <w:color w:val="FF0000"/>
          <w:sz w:val="24"/>
          <w:szCs w:val="24"/>
        </w:rPr>
        <w:t>[</w:t>
      </w:r>
      <w:r w:rsidRPr="00333BFC">
        <w:rPr>
          <w:i/>
          <w:color w:val="FF0000"/>
          <w:sz w:val="24"/>
          <w:szCs w:val="24"/>
        </w:rPr>
        <w:t>insert phone number</w:t>
      </w:r>
      <w:r w:rsidRPr="00333BFC">
        <w:rPr>
          <w:color w:val="FF0000"/>
          <w:sz w:val="24"/>
          <w:szCs w:val="24"/>
        </w:rPr>
        <w:t>]</w:t>
      </w:r>
      <w:r w:rsidRPr="00333BFC">
        <w:rPr>
          <w:sz w:val="24"/>
          <w:szCs w:val="24"/>
        </w:rPr>
        <w:t>.</w:t>
      </w:r>
    </w:p>
    <w:p w14:paraId="434510DC" w14:textId="77777777" w:rsidR="003532D3" w:rsidRPr="00333BFC" w:rsidRDefault="0097469B" w:rsidP="00333BFC">
      <w:pPr>
        <w:jc w:val="center"/>
        <w:rPr>
          <w:b/>
          <w:bCs/>
          <w:sz w:val="28"/>
          <w:szCs w:val="28"/>
        </w:rPr>
      </w:pPr>
      <w:r w:rsidRPr="00333BFC">
        <w:rPr>
          <w:b/>
          <w:bCs/>
          <w:sz w:val="28"/>
          <w:szCs w:val="28"/>
        </w:rPr>
        <w:lastRenderedPageBreak/>
        <w:t>WOMEN’S HEALTH AND CANCER RIGHTS ACT</w:t>
      </w:r>
    </w:p>
    <w:p w14:paraId="4BA4AA74" w14:textId="77777777" w:rsidR="003532D3" w:rsidRPr="0042057E" w:rsidRDefault="003532D3" w:rsidP="003532D3">
      <w:pPr>
        <w:spacing w:after="120" w:line="240" w:lineRule="auto"/>
        <w:outlineLvl w:val="0"/>
        <w:rPr>
          <w:rFonts w:eastAsia="Times New Roman" w:cs="Calibri"/>
          <w:sz w:val="24"/>
          <w:szCs w:val="24"/>
        </w:rPr>
      </w:pPr>
    </w:p>
    <w:p w14:paraId="072BF884" w14:textId="77777777" w:rsidR="003532D3" w:rsidRPr="00333BFC" w:rsidRDefault="0097469B" w:rsidP="00333BFC">
      <w:pPr>
        <w:rPr>
          <w:b/>
          <w:bCs/>
          <w:i/>
          <w:iCs/>
          <w:sz w:val="24"/>
          <w:szCs w:val="24"/>
          <w:u w:val="single"/>
        </w:rPr>
      </w:pPr>
      <w:r w:rsidRPr="00333BFC">
        <w:rPr>
          <w:b/>
          <w:bCs/>
          <w:i/>
          <w:iCs/>
          <w:sz w:val="24"/>
          <w:szCs w:val="24"/>
          <w:u w:val="single"/>
        </w:rPr>
        <w:t>Annual Notice</w:t>
      </w:r>
    </w:p>
    <w:p w14:paraId="3CE9814C" w14:textId="77777777" w:rsidR="003532D3" w:rsidRPr="00333BFC" w:rsidRDefault="0097469B" w:rsidP="00333BFC">
      <w:pPr>
        <w:rPr>
          <w:sz w:val="24"/>
          <w:szCs w:val="24"/>
        </w:rPr>
      </w:pPr>
      <w:r w:rsidRPr="00333BFC">
        <w:rPr>
          <w:sz w:val="24"/>
          <w:szCs w:val="24"/>
        </w:rPr>
        <w:t xml:space="preserve">Do you know that your plan, as required by the Women’s Health and Cancer Rights Act of 1998, provides benefits for mastectomy-related services, including all stages of reconstruction and surgery to achieve symmetry between the breasts, prostheses, and complications resulting from a mastectomy, including lymphedema? Call your plan administrator at </w:t>
      </w:r>
      <w:r w:rsidRPr="00333BFC">
        <w:rPr>
          <w:color w:val="FF0000"/>
          <w:sz w:val="24"/>
          <w:szCs w:val="24"/>
        </w:rPr>
        <w:t>[</w:t>
      </w:r>
      <w:r w:rsidRPr="00333BFC">
        <w:rPr>
          <w:i/>
          <w:color w:val="FF0000"/>
          <w:sz w:val="24"/>
          <w:szCs w:val="24"/>
        </w:rPr>
        <w:t>insert phone number</w:t>
      </w:r>
      <w:r w:rsidRPr="00333BFC">
        <w:rPr>
          <w:color w:val="FF0000"/>
          <w:sz w:val="24"/>
          <w:szCs w:val="24"/>
        </w:rPr>
        <w:t>]</w:t>
      </w:r>
      <w:r w:rsidRPr="00333BFC">
        <w:rPr>
          <w:sz w:val="24"/>
          <w:szCs w:val="24"/>
        </w:rPr>
        <w:t xml:space="preserve"> for more information.</w:t>
      </w:r>
    </w:p>
    <w:p w14:paraId="651213ED" w14:textId="77777777" w:rsidR="003532D3" w:rsidRPr="0042057E" w:rsidRDefault="003532D3" w:rsidP="003532D3">
      <w:pPr>
        <w:spacing w:after="120" w:line="240" w:lineRule="auto"/>
        <w:outlineLvl w:val="0"/>
        <w:rPr>
          <w:rFonts w:eastAsia="Times New Roman" w:cs="Calibri"/>
          <w:sz w:val="24"/>
          <w:szCs w:val="24"/>
        </w:rPr>
        <w:sectPr w:rsidR="003532D3" w:rsidRPr="0042057E" w:rsidSect="003532D3">
          <w:pgSz w:w="12240" w:h="15840"/>
          <w:pgMar w:top="1980" w:right="1440" w:bottom="1440" w:left="1440" w:header="720" w:footer="0" w:gutter="0"/>
          <w:pgNumType w:start="0"/>
          <w:cols w:space="720"/>
          <w:titlePg/>
          <w:docGrid w:linePitch="360"/>
        </w:sectPr>
      </w:pPr>
    </w:p>
    <w:p w14:paraId="01936AB4" w14:textId="77777777" w:rsidR="003532D3" w:rsidRPr="00333BFC" w:rsidRDefault="0097469B" w:rsidP="00333BFC">
      <w:pPr>
        <w:jc w:val="center"/>
        <w:rPr>
          <w:b/>
          <w:bCs/>
          <w:sz w:val="28"/>
          <w:szCs w:val="28"/>
        </w:rPr>
      </w:pPr>
      <w:r w:rsidRPr="00333BFC">
        <w:rPr>
          <w:b/>
          <w:bCs/>
          <w:sz w:val="28"/>
          <w:szCs w:val="28"/>
        </w:rPr>
        <w:lastRenderedPageBreak/>
        <w:t>NOTICE OF GRANDFATHERED STATUS</w:t>
      </w:r>
    </w:p>
    <w:p w14:paraId="0F713BAF" w14:textId="77777777" w:rsidR="003532D3" w:rsidRPr="00333BFC" w:rsidRDefault="0097469B" w:rsidP="00333BFC">
      <w:pPr>
        <w:rPr>
          <w:sz w:val="24"/>
          <w:szCs w:val="24"/>
        </w:rPr>
      </w:pPr>
      <w:r w:rsidRPr="00333BFC">
        <w:rPr>
          <w:sz w:val="24"/>
          <w:szCs w:val="24"/>
        </w:rPr>
        <w:t xml:space="preserve">This </w:t>
      </w:r>
      <w:r w:rsidRPr="00333BFC">
        <w:rPr>
          <w:color w:val="FF0000"/>
          <w:sz w:val="24"/>
          <w:szCs w:val="24"/>
        </w:rPr>
        <w:t>[</w:t>
      </w:r>
      <w:r w:rsidRPr="00333BFC">
        <w:rPr>
          <w:i/>
          <w:color w:val="FF0000"/>
          <w:sz w:val="24"/>
          <w:szCs w:val="24"/>
        </w:rPr>
        <w:t>group health plan or health insurance issuer</w:t>
      </w:r>
      <w:r w:rsidRPr="00333BFC">
        <w:rPr>
          <w:color w:val="FF0000"/>
          <w:sz w:val="24"/>
          <w:szCs w:val="24"/>
        </w:rPr>
        <w:t>]</w:t>
      </w:r>
      <w:r w:rsidRPr="00333BFC">
        <w:rPr>
          <w:sz w:val="24"/>
          <w:szCs w:val="24"/>
        </w:rPr>
        <w:t xml:space="preserve"> believes this </w:t>
      </w:r>
      <w:r w:rsidRPr="00333BFC">
        <w:rPr>
          <w:color w:val="FF0000"/>
          <w:sz w:val="24"/>
          <w:szCs w:val="24"/>
        </w:rPr>
        <w:t>[</w:t>
      </w:r>
      <w:r w:rsidRPr="00333BFC">
        <w:rPr>
          <w:i/>
          <w:color w:val="FF0000"/>
          <w:sz w:val="24"/>
          <w:szCs w:val="24"/>
        </w:rPr>
        <w:t>plan or coverage</w:t>
      </w:r>
      <w:r w:rsidRPr="00333BFC">
        <w:rPr>
          <w:color w:val="FF0000"/>
          <w:sz w:val="24"/>
          <w:szCs w:val="24"/>
        </w:rPr>
        <w:t>]</w:t>
      </w:r>
      <w:r w:rsidRPr="00333BFC">
        <w:rPr>
          <w:sz w:val="24"/>
          <w:szCs w:val="24"/>
        </w:rPr>
        <w:t xml:space="preserve"> is a “grandfathered health plan” under the Patient Protection and Affordable Care Act (the Affordable Care Act). As permitted by the Affordable Care Act, a grandfathered health plan can preserve certain basic health coverage that was already in effect when that law was enacted.  Being a grandfathered health plan means that your </w:t>
      </w:r>
      <w:r w:rsidRPr="00333BFC">
        <w:rPr>
          <w:color w:val="FF0000"/>
          <w:sz w:val="24"/>
          <w:szCs w:val="24"/>
        </w:rPr>
        <w:t>[</w:t>
      </w:r>
      <w:r w:rsidRPr="00333BFC">
        <w:rPr>
          <w:i/>
          <w:color w:val="FF0000"/>
          <w:sz w:val="24"/>
          <w:szCs w:val="24"/>
        </w:rPr>
        <w:t>plan or policy</w:t>
      </w:r>
      <w:r w:rsidRPr="00333BFC">
        <w:rPr>
          <w:color w:val="FF0000"/>
          <w:sz w:val="24"/>
          <w:szCs w:val="24"/>
        </w:rPr>
        <w:t>]</w:t>
      </w:r>
      <w:r w:rsidRPr="00333BFC">
        <w:rPr>
          <w:sz w:val="24"/>
          <w:szCs w:val="24"/>
        </w:rPr>
        <w:t xml:space="preserve"> may not include certain consumer protections of the Affordable Care Act that apply to other plans; for example, the requirement for the provision of preventive heal</w:t>
      </w:r>
      <w:r w:rsidRPr="00333BFC">
        <w:rPr>
          <w:sz w:val="24"/>
          <w:szCs w:val="24"/>
        </w:rPr>
        <w:t>th services without any cost sharing. However, grandfathered health plans must comply with certain other consumer protections in the Affordable Care Act; for example, the elimination of lifetime limits on benefits.</w:t>
      </w:r>
    </w:p>
    <w:p w14:paraId="060B5636" w14:textId="77777777" w:rsidR="003532D3" w:rsidRPr="00333BFC" w:rsidRDefault="0097469B" w:rsidP="00333BFC">
      <w:pPr>
        <w:rPr>
          <w:sz w:val="24"/>
          <w:szCs w:val="24"/>
        </w:rPr>
        <w:sectPr w:rsidR="003532D3" w:rsidRPr="00333BFC" w:rsidSect="003532D3">
          <w:pgSz w:w="12240" w:h="15840"/>
          <w:pgMar w:top="1980" w:right="1440" w:bottom="1440" w:left="1440" w:header="720" w:footer="0" w:gutter="0"/>
          <w:pgNumType w:start="0"/>
          <w:cols w:space="720"/>
          <w:titlePg/>
          <w:docGrid w:linePitch="360"/>
        </w:sectPr>
      </w:pPr>
      <w:r w:rsidRPr="00333BFC">
        <w:rPr>
          <w:sz w:val="24"/>
          <w:szCs w:val="24"/>
        </w:rPr>
        <w:t xml:space="preserve">Questions regarding which protections apply and which protections do not apply to a grandfathered health plan and what might cause a plan to change from grandfathered health plan status can be directed to the plan administrator at </w:t>
      </w:r>
      <w:r w:rsidRPr="00333BFC">
        <w:rPr>
          <w:color w:val="FF0000"/>
          <w:sz w:val="24"/>
          <w:szCs w:val="24"/>
        </w:rPr>
        <w:t>[</w:t>
      </w:r>
      <w:r w:rsidRPr="00333BFC">
        <w:rPr>
          <w:i/>
          <w:color w:val="FF0000"/>
          <w:sz w:val="24"/>
          <w:szCs w:val="24"/>
        </w:rPr>
        <w:t>insert contact information</w:t>
      </w:r>
      <w:r w:rsidRPr="00333BFC">
        <w:rPr>
          <w:color w:val="FF0000"/>
          <w:sz w:val="24"/>
          <w:szCs w:val="24"/>
        </w:rPr>
        <w:t>]</w:t>
      </w:r>
      <w:r w:rsidRPr="00333BFC">
        <w:rPr>
          <w:sz w:val="24"/>
          <w:szCs w:val="24"/>
        </w:rPr>
        <w:t>. [</w:t>
      </w:r>
      <w:r w:rsidRPr="00333BFC">
        <w:rPr>
          <w:i/>
          <w:color w:val="FF0000"/>
          <w:sz w:val="24"/>
          <w:szCs w:val="24"/>
        </w:rPr>
        <w:t>For ERISA plans, insert:</w:t>
      </w:r>
      <w:r w:rsidRPr="00333BFC">
        <w:rPr>
          <w:i/>
          <w:sz w:val="24"/>
          <w:szCs w:val="24"/>
        </w:rPr>
        <w:t xml:space="preserve"> You may also contact the Employee Benefits Security Administration, U.S. Department of Labor at 1-866-444-3272 or www.dol.gov/ebsa/healthreform. This website has a table summarizing which protections do and do not apply to grandfathered health plans</w:t>
      </w:r>
      <w:r w:rsidRPr="00333BFC">
        <w:rPr>
          <w:sz w:val="24"/>
          <w:szCs w:val="24"/>
        </w:rPr>
        <w:t>.] [</w:t>
      </w:r>
      <w:r w:rsidRPr="00333BFC">
        <w:rPr>
          <w:i/>
          <w:color w:val="FF0000"/>
          <w:sz w:val="24"/>
          <w:szCs w:val="24"/>
        </w:rPr>
        <w:t>For individual market policies and nonfederal governmental plans, insert:</w:t>
      </w:r>
      <w:r w:rsidRPr="00333BFC">
        <w:rPr>
          <w:i/>
          <w:sz w:val="24"/>
          <w:szCs w:val="24"/>
        </w:rPr>
        <w:t xml:space="preserve"> You may also contact the U.S. Department of Health and Human Services at www.healthreform.gov</w:t>
      </w:r>
      <w:r w:rsidRPr="00333BFC">
        <w:rPr>
          <w:sz w:val="24"/>
          <w:szCs w:val="24"/>
        </w:rPr>
        <w:t>.]</w:t>
      </w:r>
    </w:p>
    <w:p w14:paraId="7BF705FB" w14:textId="77777777" w:rsidR="003532D3" w:rsidRPr="00333BFC" w:rsidRDefault="0097469B" w:rsidP="00333BFC">
      <w:pPr>
        <w:jc w:val="center"/>
        <w:rPr>
          <w:b/>
          <w:bCs/>
          <w:sz w:val="28"/>
          <w:szCs w:val="28"/>
        </w:rPr>
      </w:pPr>
      <w:r w:rsidRPr="00333BFC">
        <w:rPr>
          <w:b/>
          <w:bCs/>
          <w:sz w:val="28"/>
          <w:szCs w:val="28"/>
        </w:rPr>
        <w:lastRenderedPageBreak/>
        <w:t>NOTICE OF PATIENT PROTECTION</w:t>
      </w:r>
      <w:bookmarkEnd w:id="23"/>
      <w:bookmarkEnd w:id="24"/>
      <w:r w:rsidRPr="00333BFC">
        <w:rPr>
          <w:b/>
          <w:bCs/>
          <w:sz w:val="28"/>
          <w:szCs w:val="28"/>
        </w:rPr>
        <w:t>S</w:t>
      </w:r>
    </w:p>
    <w:p w14:paraId="4EAD64C2" w14:textId="77777777" w:rsidR="003532D3" w:rsidRPr="0042057E" w:rsidRDefault="0097469B" w:rsidP="003532D3">
      <w:pPr>
        <w:spacing w:after="120" w:line="240" w:lineRule="auto"/>
        <w:rPr>
          <w:rFonts w:eastAsia="Times New Roman" w:cs="Calibri"/>
          <w:i/>
          <w:sz w:val="24"/>
          <w:szCs w:val="24"/>
        </w:rPr>
      </w:pPr>
      <w:r w:rsidRPr="0042057E">
        <w:rPr>
          <w:rFonts w:eastAsia="Times New Roman" w:cs="Calibri"/>
          <w:b/>
          <w:i/>
          <w:sz w:val="24"/>
          <w:szCs w:val="24"/>
        </w:rPr>
        <w:t>For plans and issuers that require or allow for the designation of primary care providers by participants or beneficiaries, insert</w:t>
      </w:r>
      <w:r w:rsidRPr="0042057E">
        <w:rPr>
          <w:rFonts w:eastAsia="Times New Roman" w:cs="Calibri"/>
          <w:i/>
          <w:sz w:val="24"/>
          <w:szCs w:val="24"/>
        </w:rPr>
        <w:t>:</w:t>
      </w:r>
    </w:p>
    <w:p w14:paraId="6CFF3E5D" w14:textId="77777777" w:rsidR="003532D3" w:rsidRPr="0042057E" w:rsidRDefault="0097469B" w:rsidP="003532D3">
      <w:pPr>
        <w:spacing w:after="120" w:line="240" w:lineRule="auto"/>
        <w:rPr>
          <w:rFonts w:eastAsia="Times New Roman" w:cs="Calibri"/>
          <w:sz w:val="24"/>
          <w:szCs w:val="24"/>
        </w:rPr>
      </w:pPr>
      <w:r w:rsidRPr="00161AD7">
        <w:rPr>
          <w:rFonts w:eastAsia="Times New Roman" w:cs="Calibri"/>
          <w:color w:val="FF0000"/>
          <w:sz w:val="24"/>
          <w:szCs w:val="24"/>
        </w:rPr>
        <w:t>[</w:t>
      </w:r>
      <w:r w:rsidRPr="00161AD7">
        <w:rPr>
          <w:rFonts w:eastAsia="Times New Roman" w:cs="Calibri"/>
          <w:i/>
          <w:color w:val="FF0000"/>
          <w:sz w:val="24"/>
          <w:szCs w:val="24"/>
        </w:rPr>
        <w:t>Name of group health plan or health insurance issuer</w:t>
      </w:r>
      <w:r w:rsidRPr="00161AD7">
        <w:rPr>
          <w:rFonts w:eastAsia="Times New Roman" w:cs="Calibri"/>
          <w:color w:val="FF0000"/>
          <w:sz w:val="24"/>
          <w:szCs w:val="24"/>
        </w:rPr>
        <w:t>]</w:t>
      </w:r>
      <w:r w:rsidRPr="0042057E">
        <w:rPr>
          <w:rFonts w:eastAsia="Times New Roman" w:cs="Calibri"/>
          <w:sz w:val="24"/>
          <w:szCs w:val="24"/>
        </w:rPr>
        <w:t xml:space="preserve"> generally </w:t>
      </w:r>
      <w:r w:rsidRPr="00161AD7">
        <w:rPr>
          <w:rFonts w:eastAsia="Times New Roman" w:cs="Calibri"/>
          <w:color w:val="FF0000"/>
          <w:sz w:val="24"/>
          <w:szCs w:val="24"/>
        </w:rPr>
        <w:t>[</w:t>
      </w:r>
      <w:r w:rsidRPr="00161AD7">
        <w:rPr>
          <w:rFonts w:eastAsia="Times New Roman" w:cs="Calibri"/>
          <w:i/>
          <w:color w:val="FF0000"/>
          <w:sz w:val="24"/>
          <w:szCs w:val="24"/>
        </w:rPr>
        <w:t>requires/allows</w:t>
      </w:r>
      <w:r w:rsidRPr="00161AD7">
        <w:rPr>
          <w:rFonts w:eastAsia="Times New Roman" w:cs="Calibri"/>
          <w:color w:val="FF0000"/>
          <w:sz w:val="24"/>
          <w:szCs w:val="24"/>
        </w:rPr>
        <w:t>]</w:t>
      </w:r>
      <w:r w:rsidRPr="0042057E">
        <w:rPr>
          <w:rFonts w:eastAsia="Times New Roman" w:cs="Calibri"/>
          <w:sz w:val="24"/>
          <w:szCs w:val="24"/>
        </w:rPr>
        <w:t xml:space="preserve"> the designation of a primary care provider. You have the right to designate any primary care provider who participates in our network and who is available to accept you or your family members. [</w:t>
      </w:r>
      <w:r w:rsidRPr="00161AD7">
        <w:rPr>
          <w:rFonts w:eastAsia="Times New Roman" w:cs="Calibri"/>
          <w:i/>
          <w:color w:val="FF0000"/>
          <w:sz w:val="24"/>
          <w:szCs w:val="24"/>
        </w:rPr>
        <w:t>If the plan or health insurance coverage designates a primary care provider automatically, insert:</w:t>
      </w:r>
      <w:r w:rsidRPr="0042057E">
        <w:rPr>
          <w:rFonts w:eastAsia="Times New Roman" w:cs="Calibri"/>
          <w:i/>
          <w:sz w:val="24"/>
          <w:szCs w:val="24"/>
        </w:rPr>
        <w:t xml:space="preserve"> Until you make this designation, </w:t>
      </w:r>
      <w:r w:rsidRPr="00161AD7">
        <w:rPr>
          <w:rFonts w:eastAsia="Times New Roman" w:cs="Calibri"/>
          <w:i/>
          <w:color w:val="FF0000"/>
          <w:sz w:val="24"/>
          <w:szCs w:val="24"/>
        </w:rPr>
        <w:t>[name of group health plan or health insurance issuer]</w:t>
      </w:r>
      <w:r w:rsidRPr="0042057E">
        <w:rPr>
          <w:rFonts w:eastAsia="Times New Roman" w:cs="Calibri"/>
          <w:i/>
          <w:sz w:val="24"/>
          <w:szCs w:val="24"/>
        </w:rPr>
        <w:t xml:space="preserve"> designates one for you.</w:t>
      </w:r>
      <w:r w:rsidRPr="0042057E">
        <w:rPr>
          <w:rFonts w:eastAsia="Times New Roman" w:cs="Calibri"/>
          <w:sz w:val="24"/>
          <w:szCs w:val="24"/>
        </w:rPr>
        <w:t>] For information on how to select a primary care provider, and for a list of the participating primary car</w:t>
      </w:r>
      <w:r w:rsidRPr="0042057E">
        <w:rPr>
          <w:rFonts w:eastAsia="Times New Roman" w:cs="Calibri"/>
          <w:sz w:val="24"/>
          <w:szCs w:val="24"/>
        </w:rPr>
        <w:t xml:space="preserve">e providers, contact the </w:t>
      </w:r>
      <w:r w:rsidRPr="00161AD7">
        <w:rPr>
          <w:rFonts w:eastAsia="Times New Roman" w:cs="Calibri"/>
          <w:color w:val="FF0000"/>
          <w:sz w:val="24"/>
          <w:szCs w:val="24"/>
        </w:rPr>
        <w:t>[</w:t>
      </w:r>
      <w:r w:rsidRPr="00161AD7">
        <w:rPr>
          <w:rFonts w:eastAsia="Times New Roman" w:cs="Calibri"/>
          <w:i/>
          <w:color w:val="FF0000"/>
          <w:sz w:val="24"/>
          <w:szCs w:val="24"/>
        </w:rPr>
        <w:t>plan administrator or issuer</w:t>
      </w:r>
      <w:r w:rsidRPr="00161AD7">
        <w:rPr>
          <w:rFonts w:eastAsia="Times New Roman" w:cs="Calibri"/>
          <w:color w:val="FF0000"/>
          <w:sz w:val="24"/>
          <w:szCs w:val="24"/>
        </w:rPr>
        <w:t>]</w:t>
      </w:r>
      <w:r w:rsidRPr="0042057E">
        <w:rPr>
          <w:rFonts w:eastAsia="Times New Roman" w:cs="Calibri"/>
          <w:sz w:val="24"/>
          <w:szCs w:val="24"/>
        </w:rPr>
        <w:t xml:space="preserve"> at </w:t>
      </w:r>
      <w:r w:rsidRPr="00161AD7">
        <w:rPr>
          <w:rFonts w:eastAsia="Times New Roman" w:cs="Calibri"/>
          <w:color w:val="FF0000"/>
          <w:sz w:val="24"/>
          <w:szCs w:val="24"/>
        </w:rPr>
        <w:t>[</w:t>
      </w:r>
      <w:r w:rsidRPr="00161AD7">
        <w:rPr>
          <w:rFonts w:eastAsia="Times New Roman" w:cs="Calibri"/>
          <w:i/>
          <w:color w:val="FF0000"/>
          <w:sz w:val="24"/>
          <w:szCs w:val="24"/>
        </w:rPr>
        <w:t>insert contact information</w:t>
      </w:r>
      <w:r w:rsidRPr="00161AD7">
        <w:rPr>
          <w:rFonts w:eastAsia="Times New Roman" w:cs="Calibri"/>
          <w:color w:val="FF0000"/>
          <w:sz w:val="24"/>
          <w:szCs w:val="24"/>
        </w:rPr>
        <w:t>]</w:t>
      </w:r>
      <w:r>
        <w:rPr>
          <w:rFonts w:eastAsia="Times New Roman" w:cs="Calibri"/>
          <w:sz w:val="24"/>
          <w:szCs w:val="24"/>
        </w:rPr>
        <w:t>.</w:t>
      </w:r>
    </w:p>
    <w:p w14:paraId="17087877" w14:textId="77777777" w:rsidR="003532D3" w:rsidRPr="0042057E" w:rsidRDefault="0097469B" w:rsidP="003532D3">
      <w:pPr>
        <w:spacing w:after="120" w:line="240" w:lineRule="auto"/>
        <w:rPr>
          <w:rFonts w:eastAsia="Times New Roman" w:cs="Calibri"/>
          <w:b/>
          <w:i/>
          <w:sz w:val="24"/>
          <w:szCs w:val="24"/>
        </w:rPr>
      </w:pPr>
      <w:r w:rsidRPr="0042057E">
        <w:rPr>
          <w:rFonts w:eastAsia="Times New Roman" w:cs="Calibri"/>
          <w:b/>
          <w:i/>
          <w:sz w:val="24"/>
          <w:szCs w:val="24"/>
        </w:rPr>
        <w:t>For plans and issuers that require or allow for the designation of a primary care provider for a ch</w:t>
      </w:r>
      <w:r>
        <w:rPr>
          <w:rFonts w:eastAsia="Times New Roman" w:cs="Calibri"/>
          <w:b/>
          <w:i/>
          <w:sz w:val="24"/>
          <w:szCs w:val="24"/>
        </w:rPr>
        <w:t>ild, add:</w:t>
      </w:r>
    </w:p>
    <w:p w14:paraId="3B021851" w14:textId="77777777" w:rsidR="003532D3" w:rsidRPr="0042057E" w:rsidRDefault="0097469B" w:rsidP="003532D3">
      <w:pPr>
        <w:spacing w:after="120" w:line="240" w:lineRule="auto"/>
        <w:rPr>
          <w:rFonts w:eastAsia="Times New Roman" w:cs="Calibri"/>
          <w:sz w:val="24"/>
          <w:szCs w:val="24"/>
        </w:rPr>
      </w:pPr>
      <w:r w:rsidRPr="0042057E">
        <w:rPr>
          <w:rFonts w:eastAsia="Times New Roman" w:cs="Calibri"/>
          <w:sz w:val="24"/>
          <w:szCs w:val="24"/>
        </w:rPr>
        <w:t>For children, you may designate a pediatrician as the primary care provider</w:t>
      </w:r>
      <w:r>
        <w:rPr>
          <w:rFonts w:eastAsia="Times New Roman" w:cs="Calibri"/>
          <w:sz w:val="24"/>
          <w:szCs w:val="24"/>
        </w:rPr>
        <w:t>.</w:t>
      </w:r>
    </w:p>
    <w:p w14:paraId="5A6B9FE9" w14:textId="77777777" w:rsidR="003532D3" w:rsidRPr="0042057E" w:rsidRDefault="0097469B" w:rsidP="003532D3">
      <w:pPr>
        <w:spacing w:after="120" w:line="240" w:lineRule="auto"/>
        <w:rPr>
          <w:rFonts w:eastAsia="Times New Roman" w:cs="Calibri"/>
          <w:b/>
          <w:i/>
          <w:sz w:val="24"/>
          <w:szCs w:val="24"/>
        </w:rPr>
      </w:pPr>
      <w:r w:rsidRPr="0042057E">
        <w:rPr>
          <w:rFonts w:eastAsia="Times New Roman" w:cs="Calibri"/>
          <w:b/>
          <w:i/>
          <w:sz w:val="24"/>
          <w:szCs w:val="24"/>
        </w:rPr>
        <w:t>For plans and issuers that provide coverage for obstetric or gynecological care and require the designation by a participant or beneficiary of a primary care provider, add:</w:t>
      </w:r>
    </w:p>
    <w:p w14:paraId="6DE2883B" w14:textId="77777777" w:rsidR="003532D3" w:rsidRPr="0042057E" w:rsidRDefault="0097469B" w:rsidP="003532D3">
      <w:pPr>
        <w:spacing w:after="120" w:line="240" w:lineRule="auto"/>
        <w:rPr>
          <w:rFonts w:eastAsia="Times New Roman" w:cs="Calibri"/>
          <w:sz w:val="24"/>
          <w:szCs w:val="24"/>
        </w:rPr>
      </w:pPr>
      <w:r w:rsidRPr="0042057E">
        <w:rPr>
          <w:rFonts w:eastAsia="Times New Roman" w:cs="Calibri"/>
          <w:sz w:val="24"/>
          <w:szCs w:val="24"/>
        </w:rPr>
        <w:t xml:space="preserve">You do not need prior authorization from </w:t>
      </w:r>
      <w:r w:rsidRPr="00161AD7">
        <w:rPr>
          <w:rFonts w:eastAsia="Times New Roman" w:cs="Calibri"/>
          <w:color w:val="FF0000"/>
          <w:sz w:val="24"/>
          <w:szCs w:val="24"/>
        </w:rPr>
        <w:t>[</w:t>
      </w:r>
      <w:r w:rsidRPr="00161AD7">
        <w:rPr>
          <w:rFonts w:eastAsia="Times New Roman" w:cs="Calibri"/>
          <w:i/>
          <w:color w:val="FF0000"/>
          <w:sz w:val="24"/>
          <w:szCs w:val="24"/>
        </w:rPr>
        <w:t>name of group health plan or issuer</w:t>
      </w:r>
      <w:r w:rsidRPr="00161AD7">
        <w:rPr>
          <w:rFonts w:eastAsia="Times New Roman" w:cs="Calibri"/>
          <w:color w:val="FF0000"/>
          <w:sz w:val="24"/>
          <w:szCs w:val="24"/>
        </w:rPr>
        <w:t>]</w:t>
      </w:r>
      <w:r w:rsidRPr="0042057E">
        <w:rPr>
          <w:rFonts w:eastAsia="Times New Roman" w:cs="Calibri"/>
          <w:sz w:val="24"/>
          <w:szCs w:val="24"/>
        </w:rPr>
        <w:t xml:space="preserve"> or from any other person (including a primary care provider) in order to obtain access to obstetrical or gynecological care from a health care professional in our network who specializes in obstetrics or gynecology. The health care professional, however, may be required to comply with certain procedures, including obtaining prior authorization for certain services, following a pre-approved treatment plan, or procedures for making referrals. For a list of participating h</w:t>
      </w:r>
      <w:r w:rsidRPr="0042057E">
        <w:rPr>
          <w:rFonts w:eastAsia="Times New Roman" w:cs="Calibri"/>
          <w:sz w:val="24"/>
          <w:szCs w:val="24"/>
        </w:rPr>
        <w:t xml:space="preserve">ealth care professionals who specialize in obstetrics or gynecology, contact the </w:t>
      </w:r>
      <w:r w:rsidRPr="00161AD7">
        <w:rPr>
          <w:rFonts w:eastAsia="Times New Roman" w:cs="Calibri"/>
          <w:color w:val="FF0000"/>
          <w:sz w:val="24"/>
          <w:szCs w:val="24"/>
        </w:rPr>
        <w:t>[</w:t>
      </w:r>
      <w:r w:rsidRPr="00161AD7">
        <w:rPr>
          <w:rFonts w:eastAsia="Times New Roman" w:cs="Calibri"/>
          <w:i/>
          <w:color w:val="FF0000"/>
          <w:sz w:val="24"/>
          <w:szCs w:val="24"/>
        </w:rPr>
        <w:t>plan administrator or issuer</w:t>
      </w:r>
      <w:r w:rsidRPr="00161AD7">
        <w:rPr>
          <w:rFonts w:eastAsia="Times New Roman" w:cs="Calibri"/>
          <w:color w:val="FF0000"/>
          <w:sz w:val="24"/>
          <w:szCs w:val="24"/>
        </w:rPr>
        <w:t>]</w:t>
      </w:r>
      <w:r w:rsidRPr="0042057E">
        <w:rPr>
          <w:rFonts w:eastAsia="Times New Roman" w:cs="Calibri"/>
          <w:sz w:val="24"/>
          <w:szCs w:val="24"/>
        </w:rPr>
        <w:t xml:space="preserve"> at </w:t>
      </w:r>
      <w:r w:rsidRPr="00161AD7">
        <w:rPr>
          <w:rFonts w:eastAsia="Times New Roman" w:cs="Calibri"/>
          <w:color w:val="FF0000"/>
          <w:sz w:val="24"/>
          <w:szCs w:val="24"/>
        </w:rPr>
        <w:t>[</w:t>
      </w:r>
      <w:r w:rsidRPr="00161AD7">
        <w:rPr>
          <w:rFonts w:eastAsia="Times New Roman" w:cs="Calibri"/>
          <w:i/>
          <w:color w:val="FF0000"/>
          <w:sz w:val="24"/>
          <w:szCs w:val="24"/>
        </w:rPr>
        <w:t>insert contact information</w:t>
      </w:r>
      <w:r w:rsidRPr="00161AD7">
        <w:rPr>
          <w:rFonts w:eastAsia="Times New Roman" w:cs="Calibri"/>
          <w:color w:val="FF0000"/>
          <w:sz w:val="24"/>
          <w:szCs w:val="24"/>
        </w:rPr>
        <w:t>]</w:t>
      </w:r>
      <w:r w:rsidRPr="0042057E">
        <w:rPr>
          <w:rFonts w:eastAsia="Times New Roman" w:cs="Calibri"/>
          <w:sz w:val="24"/>
          <w:szCs w:val="24"/>
        </w:rPr>
        <w:t>.</w:t>
      </w:r>
    </w:p>
    <w:p w14:paraId="2691306D" w14:textId="77777777" w:rsidR="003532D3" w:rsidRPr="0042057E" w:rsidRDefault="003532D3" w:rsidP="003532D3">
      <w:pPr>
        <w:spacing w:after="120" w:line="240" w:lineRule="auto"/>
        <w:rPr>
          <w:rFonts w:eastAsia="Times New Roman" w:cs="Calibri"/>
          <w:sz w:val="24"/>
          <w:szCs w:val="24"/>
        </w:rPr>
        <w:sectPr w:rsidR="003532D3" w:rsidRPr="0042057E" w:rsidSect="003532D3">
          <w:pgSz w:w="12240" w:h="15840"/>
          <w:pgMar w:top="1980" w:right="1440" w:bottom="1440" w:left="1440" w:header="720" w:footer="0" w:gutter="0"/>
          <w:pgNumType w:start="0"/>
          <w:cols w:space="720"/>
          <w:titlePg/>
          <w:docGrid w:linePitch="360"/>
        </w:sectPr>
      </w:pPr>
    </w:p>
    <w:p w14:paraId="2AFB9C24" w14:textId="77777777" w:rsidR="003532D3" w:rsidRPr="00962089" w:rsidRDefault="0097469B" w:rsidP="003532D3">
      <w:pPr>
        <w:pStyle w:val="BodyTextIndent"/>
        <w:spacing w:line="240" w:lineRule="auto"/>
        <w:ind w:left="0"/>
        <w:jc w:val="center"/>
        <w:rPr>
          <w:rFonts w:ascii="Times New Roman" w:eastAsia="Times New Roman" w:hAnsi="Times New Roman"/>
          <w:b/>
          <w:bCs/>
          <w:color w:val="365F91"/>
          <w:sz w:val="24"/>
          <w:szCs w:val="24"/>
        </w:rPr>
      </w:pPr>
      <w:r w:rsidRPr="00314C49">
        <w:rPr>
          <w:rFonts w:ascii="Times New Roman" w:eastAsia="Times New Roman" w:hAnsi="Times New Roman"/>
          <w:b/>
          <w:bCs/>
          <w:color w:val="365F91"/>
          <w:sz w:val="24"/>
          <w:szCs w:val="24"/>
        </w:rPr>
        <w:lastRenderedPageBreak/>
        <w:t>MODEL GENERAL NOTICE OF COBRA CONTINUATION COVERAGE RIGHTS</w:t>
      </w:r>
    </w:p>
    <w:p w14:paraId="11A1E30E" w14:textId="77777777" w:rsidR="003532D3" w:rsidRPr="00A56E3A" w:rsidRDefault="0097469B" w:rsidP="003532D3">
      <w:pPr>
        <w:spacing w:after="120" w:line="240" w:lineRule="auto"/>
        <w:jc w:val="center"/>
        <w:rPr>
          <w:rFonts w:ascii="Times New Roman" w:eastAsia="Times New Roman" w:hAnsi="Times New Roman"/>
          <w:b/>
          <w:bCs/>
          <w:sz w:val="24"/>
          <w:szCs w:val="24"/>
        </w:rPr>
      </w:pPr>
      <w:r w:rsidRPr="00A56E3A">
        <w:rPr>
          <w:rFonts w:ascii="Times New Roman" w:eastAsia="Times New Roman" w:hAnsi="Times New Roman"/>
          <w:b/>
          <w:bCs/>
          <w:sz w:val="24"/>
          <w:szCs w:val="24"/>
        </w:rPr>
        <w:t>(For use by single-employer group health plans)</w:t>
      </w:r>
    </w:p>
    <w:p w14:paraId="0A9038A0" w14:textId="77777777" w:rsidR="003532D3" w:rsidRPr="00A56E3A" w:rsidRDefault="0097469B" w:rsidP="003532D3">
      <w:pPr>
        <w:spacing w:after="120" w:line="240" w:lineRule="auto"/>
        <w:jc w:val="center"/>
        <w:rPr>
          <w:rFonts w:ascii="Times New Roman" w:eastAsia="Times New Roman" w:hAnsi="Times New Roman"/>
          <w:b/>
          <w:bCs/>
          <w:sz w:val="24"/>
          <w:szCs w:val="24"/>
        </w:rPr>
      </w:pPr>
      <w:r w:rsidRPr="00A56E3A">
        <w:rPr>
          <w:rFonts w:ascii="Times New Roman" w:eastAsia="Times New Roman" w:hAnsi="Times New Roman"/>
          <w:b/>
          <w:bCs/>
          <w:sz w:val="24"/>
          <w:szCs w:val="24"/>
        </w:rPr>
        <w:t xml:space="preserve">** </w:t>
      </w:r>
      <w:r w:rsidRPr="00A56E3A">
        <w:rPr>
          <w:rFonts w:ascii="Times New Roman" w:eastAsia="Times New Roman" w:hAnsi="Times New Roman"/>
          <w:b/>
          <w:bCs/>
          <w:sz w:val="24"/>
          <w:szCs w:val="24"/>
        </w:rPr>
        <w:t>Continuation Coverage Rights Under COBRA**</w:t>
      </w:r>
    </w:p>
    <w:p w14:paraId="59D90FDD" w14:textId="77777777" w:rsidR="003532D3" w:rsidRPr="00962089" w:rsidRDefault="0097469B" w:rsidP="003532D3">
      <w:pPr>
        <w:widowControl w:val="0"/>
        <w:tabs>
          <w:tab w:val="left" w:pos="-1440"/>
        </w:tabs>
        <w:autoSpaceDE w:val="0"/>
        <w:autoSpaceDN w:val="0"/>
        <w:adjustRightInd w:val="0"/>
        <w:spacing w:after="120" w:line="240" w:lineRule="auto"/>
        <w:rPr>
          <w:rFonts w:eastAsia="Times New Roman"/>
          <w:b/>
          <w:bCs/>
          <w:sz w:val="24"/>
          <w:szCs w:val="24"/>
        </w:rPr>
      </w:pPr>
      <w:r w:rsidRPr="00962089">
        <w:rPr>
          <w:rFonts w:eastAsia="Times New Roman"/>
          <w:b/>
          <w:bCs/>
          <w:sz w:val="24"/>
          <w:szCs w:val="24"/>
        </w:rPr>
        <w:t>Introduction</w:t>
      </w:r>
    </w:p>
    <w:p w14:paraId="774284E5" w14:textId="77777777" w:rsidR="003532D3" w:rsidRPr="00962089" w:rsidRDefault="0097469B" w:rsidP="003532D3">
      <w:pPr>
        <w:widowControl w:val="0"/>
        <w:tabs>
          <w:tab w:val="left" w:pos="-1440"/>
        </w:tabs>
        <w:autoSpaceDE w:val="0"/>
        <w:autoSpaceDN w:val="0"/>
        <w:adjustRightInd w:val="0"/>
        <w:spacing w:after="120" w:line="240" w:lineRule="auto"/>
        <w:rPr>
          <w:rFonts w:eastAsia="Times New Roman"/>
          <w:sz w:val="24"/>
          <w:szCs w:val="24"/>
        </w:rPr>
      </w:pPr>
      <w:r w:rsidRPr="00962089">
        <w:rPr>
          <w:rFonts w:eastAsia="Times New Roman"/>
          <w:sz w:val="24"/>
          <w:szCs w:val="24"/>
        </w:rPr>
        <w:t xml:space="preserve">You’re getting this notice because you recently gained coverage under a group health plan (the Plan).  This notice has important information about your right to COBRA continuation coverage, which is a temporary extension of coverage under the Plan.  </w:t>
      </w:r>
      <w:r w:rsidRPr="00962089">
        <w:rPr>
          <w:rFonts w:eastAsia="Times New Roman"/>
          <w:b/>
          <w:bCs/>
          <w:sz w:val="24"/>
          <w:szCs w:val="24"/>
        </w:rPr>
        <w:t>This notice explains COBRA continuation coverage, when it may become available to you and your family, and what you need to do to protect your right to get it.</w:t>
      </w:r>
      <w:r w:rsidRPr="00962089">
        <w:rPr>
          <w:rFonts w:eastAsia="Times New Roman"/>
          <w:sz w:val="24"/>
          <w:szCs w:val="24"/>
        </w:rPr>
        <w:t xml:space="preserve">  When you become eligible for COBRA, you may also become eligible for other coverage options that may cost less than COBRA continuation coverage.</w:t>
      </w:r>
    </w:p>
    <w:p w14:paraId="4DF14FCF" w14:textId="77777777" w:rsidR="003532D3" w:rsidRPr="00962089" w:rsidRDefault="0097469B" w:rsidP="003532D3">
      <w:pPr>
        <w:widowControl w:val="0"/>
        <w:tabs>
          <w:tab w:val="left" w:pos="-1440"/>
        </w:tabs>
        <w:autoSpaceDE w:val="0"/>
        <w:autoSpaceDN w:val="0"/>
        <w:adjustRightInd w:val="0"/>
        <w:spacing w:after="120" w:line="240" w:lineRule="auto"/>
        <w:rPr>
          <w:rFonts w:eastAsia="Times New Roman"/>
          <w:sz w:val="24"/>
          <w:szCs w:val="24"/>
        </w:rPr>
      </w:pPr>
      <w:r w:rsidRPr="00962089">
        <w:rPr>
          <w:rFonts w:eastAsia="Times New Roman"/>
          <w:sz w:val="24"/>
          <w:szCs w:val="24"/>
        </w:rPr>
        <w:t xml:space="preserve">The right to COBRA continuation coverage was created by a federal law, the Consolidated Omnibus Budget Reconciliation Act of 1985 (COBRA).  COBRA continuation coverage can become available to you and other members of your family when group health coverage would otherwise end.  For more information about your rights and obligations under the Plan and under federal law, you should review the Plan’s Summary Plan Description or contact the Plan Administrator.  </w:t>
      </w:r>
    </w:p>
    <w:p w14:paraId="3D8F938A" w14:textId="77777777" w:rsidR="003532D3" w:rsidRPr="00962089" w:rsidRDefault="0097469B" w:rsidP="003532D3">
      <w:pPr>
        <w:spacing w:after="120" w:line="240" w:lineRule="auto"/>
        <w:rPr>
          <w:rFonts w:eastAsia="Times New Roman"/>
          <w:sz w:val="24"/>
          <w:szCs w:val="24"/>
        </w:rPr>
      </w:pPr>
      <w:r w:rsidRPr="00962089">
        <w:rPr>
          <w:rFonts w:eastAsia="Times New Roman"/>
          <w:b/>
          <w:sz w:val="24"/>
          <w:szCs w:val="24"/>
        </w:rPr>
        <w:t>You may have other options available to you when you lose group health coverage.</w:t>
      </w:r>
      <w:r w:rsidRPr="00962089">
        <w:rPr>
          <w:rFonts w:eastAsia="Times New Roman"/>
          <w:sz w:val="24"/>
          <w:szCs w:val="24"/>
        </w:rPr>
        <w:t xml:space="preserve">  For example, you may be eligible to buy an individual plan through the Health Insurance Marketplace.  By enrolling in coverage through the Marketplace, you may qualify for lower costs on your monthly premiums and lower out-of-pocket costs.  Additionally, you may qualify for a 30-day special enrollment period for another group health plan for which you are eligible (such as a spouse’s plan), even if that plan generally doesn’t accept late enrollees</w:t>
      </w:r>
      <w:bookmarkStart w:id="25" w:name="_DV_M34"/>
      <w:bookmarkEnd w:id="25"/>
      <w:r w:rsidRPr="00962089">
        <w:rPr>
          <w:rFonts w:eastAsia="Times New Roman"/>
          <w:sz w:val="24"/>
          <w:szCs w:val="24"/>
        </w:rPr>
        <w:t xml:space="preserve">.  </w:t>
      </w:r>
    </w:p>
    <w:p w14:paraId="481BD8B8" w14:textId="77777777" w:rsidR="003532D3" w:rsidRPr="00333BFC" w:rsidRDefault="0097469B" w:rsidP="00333BFC">
      <w:pPr>
        <w:rPr>
          <w:b/>
          <w:bCs/>
          <w:sz w:val="24"/>
          <w:szCs w:val="24"/>
        </w:rPr>
      </w:pPr>
      <w:r w:rsidRPr="00333BFC">
        <w:rPr>
          <w:b/>
          <w:bCs/>
          <w:sz w:val="24"/>
          <w:szCs w:val="24"/>
        </w:rPr>
        <w:t>What is COBRA continuation coverage?</w:t>
      </w:r>
    </w:p>
    <w:p w14:paraId="6F55DE89"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COBRA continuation coverage is a continuation of Plan coverage when it would otherwise end because of a life event.  This is also called a “qualifying event.”  Specific qualifying events are listed later in this notice.  After a qualifying event, COBRA continuation coverage must be offered to each person who is a “qualified beneficiary.”  You, your spouse, and your dependent children could become qualified beneficiaries if coverage under the Plan is lost because of the qualifying event.  Under the Plan, qua</w:t>
      </w:r>
      <w:r w:rsidRPr="00962089">
        <w:rPr>
          <w:rFonts w:eastAsia="Times New Roman"/>
          <w:sz w:val="24"/>
          <w:szCs w:val="24"/>
        </w:rPr>
        <w:t xml:space="preserve">lified beneficiaries who elect COBRA continuation coverage </w:t>
      </w:r>
      <w:r w:rsidRPr="00962089">
        <w:rPr>
          <w:rFonts w:eastAsia="Times New Roman"/>
          <w:color w:val="FF0000"/>
          <w:sz w:val="24"/>
          <w:szCs w:val="24"/>
        </w:rPr>
        <w:t>[</w:t>
      </w:r>
      <w:r w:rsidRPr="00962089">
        <w:rPr>
          <w:rFonts w:eastAsia="Times New Roman"/>
          <w:i/>
          <w:iCs/>
          <w:color w:val="FF0000"/>
          <w:sz w:val="24"/>
          <w:szCs w:val="24"/>
        </w:rPr>
        <w:t xml:space="preserve">choose and enter appropriate information:  </w:t>
      </w:r>
      <w:r w:rsidRPr="00962089">
        <w:rPr>
          <w:rFonts w:eastAsia="Times New Roman"/>
          <w:color w:val="FF0000"/>
          <w:sz w:val="24"/>
          <w:szCs w:val="24"/>
        </w:rPr>
        <w:t xml:space="preserve">must pay </w:t>
      </w:r>
      <w:r w:rsidRPr="00962089">
        <w:rPr>
          <w:rFonts w:eastAsia="Times New Roman"/>
          <w:i/>
          <w:iCs/>
          <w:color w:val="FF0000"/>
          <w:sz w:val="24"/>
          <w:szCs w:val="24"/>
        </w:rPr>
        <w:t xml:space="preserve">or </w:t>
      </w:r>
      <w:r w:rsidRPr="00962089">
        <w:rPr>
          <w:rFonts w:eastAsia="Times New Roman"/>
          <w:color w:val="FF0000"/>
          <w:sz w:val="24"/>
          <w:szCs w:val="24"/>
        </w:rPr>
        <w:t>aren’t required to pay]</w:t>
      </w:r>
      <w:r w:rsidRPr="00962089">
        <w:rPr>
          <w:rFonts w:eastAsia="Times New Roman"/>
          <w:sz w:val="24"/>
          <w:szCs w:val="24"/>
        </w:rPr>
        <w:t xml:space="preserve"> for COBRA continuation coverage.  </w:t>
      </w:r>
    </w:p>
    <w:p w14:paraId="4C4729DA"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If you’re an employee, you’ll become a qualified beneficiary if you lose your coverage under the Plan because of the following qualifying events:</w:t>
      </w:r>
    </w:p>
    <w:p w14:paraId="611D623D" w14:textId="77777777" w:rsidR="003532D3" w:rsidRPr="00962089" w:rsidRDefault="0097469B" w:rsidP="003532D3">
      <w:pPr>
        <w:numPr>
          <w:ilvl w:val="0"/>
          <w:numId w:val="30"/>
        </w:numPr>
        <w:spacing w:after="120" w:line="240" w:lineRule="auto"/>
        <w:rPr>
          <w:rFonts w:eastAsia="Times New Roman"/>
          <w:sz w:val="24"/>
          <w:szCs w:val="24"/>
        </w:rPr>
      </w:pPr>
      <w:r w:rsidRPr="00962089">
        <w:rPr>
          <w:rFonts w:eastAsia="Times New Roman"/>
          <w:sz w:val="24"/>
          <w:szCs w:val="24"/>
        </w:rPr>
        <w:t>Your hours of employment are reduced, or</w:t>
      </w:r>
    </w:p>
    <w:p w14:paraId="3F4EBA64" w14:textId="77777777" w:rsidR="003532D3" w:rsidRPr="00962089" w:rsidRDefault="0097469B" w:rsidP="003532D3">
      <w:pPr>
        <w:numPr>
          <w:ilvl w:val="0"/>
          <w:numId w:val="30"/>
        </w:numPr>
        <w:spacing w:after="120" w:line="240" w:lineRule="auto"/>
        <w:rPr>
          <w:rFonts w:eastAsia="Times New Roman"/>
          <w:sz w:val="24"/>
          <w:szCs w:val="24"/>
        </w:rPr>
      </w:pPr>
      <w:r w:rsidRPr="00962089">
        <w:rPr>
          <w:rFonts w:eastAsia="Times New Roman"/>
          <w:sz w:val="24"/>
          <w:szCs w:val="24"/>
        </w:rPr>
        <w:t>Your employment ends for any reason other than your gross misconduct.</w:t>
      </w:r>
    </w:p>
    <w:p w14:paraId="4A516E50" w14:textId="77777777" w:rsidR="003532D3" w:rsidRPr="00314C49" w:rsidRDefault="003532D3" w:rsidP="003532D3">
      <w:pPr>
        <w:spacing w:after="120" w:line="240" w:lineRule="auto"/>
        <w:rPr>
          <w:rFonts w:eastAsia="Times New Roman"/>
          <w:sz w:val="4"/>
          <w:szCs w:val="24"/>
        </w:rPr>
      </w:pPr>
    </w:p>
    <w:p w14:paraId="3101C0B0"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If you’re the spouse of an employee, you’ll become a qualified beneficiary if you lose your coverage under the Plan because of the following qualifying events:</w:t>
      </w:r>
    </w:p>
    <w:p w14:paraId="2B4A00AC" w14:textId="77777777" w:rsidR="003532D3" w:rsidRPr="00962089" w:rsidRDefault="0097469B" w:rsidP="003532D3">
      <w:pPr>
        <w:numPr>
          <w:ilvl w:val="0"/>
          <w:numId w:val="31"/>
        </w:numPr>
        <w:spacing w:after="120" w:line="240" w:lineRule="auto"/>
        <w:rPr>
          <w:rFonts w:eastAsia="Times New Roman"/>
          <w:sz w:val="24"/>
          <w:szCs w:val="24"/>
        </w:rPr>
      </w:pPr>
      <w:r w:rsidRPr="00962089">
        <w:rPr>
          <w:rFonts w:eastAsia="Times New Roman"/>
          <w:sz w:val="24"/>
          <w:szCs w:val="24"/>
        </w:rPr>
        <w:t>Your spouse dies;</w:t>
      </w:r>
    </w:p>
    <w:p w14:paraId="51088D11" w14:textId="77777777" w:rsidR="003532D3" w:rsidRPr="00962089" w:rsidRDefault="0097469B" w:rsidP="003532D3">
      <w:pPr>
        <w:numPr>
          <w:ilvl w:val="0"/>
          <w:numId w:val="31"/>
        </w:numPr>
        <w:spacing w:after="120" w:line="240" w:lineRule="auto"/>
        <w:rPr>
          <w:rFonts w:eastAsia="Times New Roman"/>
          <w:sz w:val="24"/>
          <w:szCs w:val="24"/>
        </w:rPr>
      </w:pPr>
      <w:r w:rsidRPr="00962089">
        <w:rPr>
          <w:rFonts w:eastAsia="Times New Roman"/>
          <w:sz w:val="24"/>
          <w:szCs w:val="24"/>
        </w:rPr>
        <w:t>Your spouse’s hours of employment are reduced;</w:t>
      </w:r>
    </w:p>
    <w:p w14:paraId="5018A30F" w14:textId="77777777" w:rsidR="003532D3" w:rsidRPr="00962089" w:rsidRDefault="0097469B" w:rsidP="003532D3">
      <w:pPr>
        <w:numPr>
          <w:ilvl w:val="0"/>
          <w:numId w:val="31"/>
        </w:numPr>
        <w:spacing w:after="120" w:line="240" w:lineRule="auto"/>
        <w:rPr>
          <w:rFonts w:eastAsia="Times New Roman"/>
          <w:sz w:val="24"/>
          <w:szCs w:val="24"/>
        </w:rPr>
      </w:pPr>
      <w:r w:rsidRPr="00962089">
        <w:rPr>
          <w:rFonts w:eastAsia="Times New Roman"/>
          <w:sz w:val="24"/>
          <w:szCs w:val="24"/>
        </w:rPr>
        <w:t>Your spouse’s employment ends for any reason other than his or her gross misconduct;</w:t>
      </w:r>
      <w:r w:rsidRPr="00962089">
        <w:rPr>
          <w:rFonts w:eastAsia="Times New Roman"/>
          <w:sz w:val="24"/>
          <w:szCs w:val="24"/>
        </w:rPr>
        <w:tab/>
      </w:r>
    </w:p>
    <w:p w14:paraId="5C346724" w14:textId="77777777" w:rsidR="003532D3" w:rsidRPr="00962089" w:rsidRDefault="0097469B" w:rsidP="003532D3">
      <w:pPr>
        <w:numPr>
          <w:ilvl w:val="0"/>
          <w:numId w:val="31"/>
        </w:numPr>
        <w:spacing w:after="120" w:line="240" w:lineRule="auto"/>
        <w:rPr>
          <w:rFonts w:eastAsia="Times New Roman"/>
          <w:sz w:val="24"/>
          <w:szCs w:val="24"/>
        </w:rPr>
      </w:pPr>
      <w:r w:rsidRPr="00962089">
        <w:rPr>
          <w:rFonts w:eastAsia="Times New Roman"/>
          <w:sz w:val="24"/>
          <w:szCs w:val="24"/>
        </w:rPr>
        <w:lastRenderedPageBreak/>
        <w:t>Your spouse becomes entitled to Medicare benefits (under Part A, Part B, or both); or</w:t>
      </w:r>
    </w:p>
    <w:p w14:paraId="6165B11C" w14:textId="77777777" w:rsidR="003532D3" w:rsidRPr="00962089" w:rsidRDefault="0097469B" w:rsidP="000A42C0">
      <w:pPr>
        <w:numPr>
          <w:ilvl w:val="0"/>
          <w:numId w:val="31"/>
        </w:numPr>
        <w:spacing w:after="240" w:line="240" w:lineRule="auto"/>
        <w:rPr>
          <w:rFonts w:eastAsia="Times New Roman"/>
          <w:sz w:val="24"/>
          <w:szCs w:val="24"/>
        </w:rPr>
      </w:pPr>
      <w:r w:rsidRPr="00962089">
        <w:rPr>
          <w:rFonts w:eastAsia="Times New Roman"/>
          <w:sz w:val="24"/>
          <w:szCs w:val="24"/>
        </w:rPr>
        <w:t>You become divorced or legally separated from your spouse.</w:t>
      </w:r>
    </w:p>
    <w:p w14:paraId="154861A1"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Your dependent children will become qualified beneficiaries if they lose coverage under the Plan because of the following qualifying events:</w:t>
      </w:r>
    </w:p>
    <w:p w14:paraId="14D62AE4" w14:textId="77777777" w:rsidR="003532D3" w:rsidRPr="00962089" w:rsidRDefault="0097469B" w:rsidP="003532D3">
      <w:pPr>
        <w:numPr>
          <w:ilvl w:val="0"/>
          <w:numId w:val="32"/>
        </w:numPr>
        <w:spacing w:after="120" w:line="240" w:lineRule="auto"/>
        <w:rPr>
          <w:rFonts w:eastAsia="Times New Roman"/>
          <w:sz w:val="24"/>
          <w:szCs w:val="24"/>
        </w:rPr>
      </w:pPr>
      <w:r w:rsidRPr="00962089">
        <w:rPr>
          <w:rFonts w:eastAsia="Times New Roman"/>
          <w:sz w:val="24"/>
          <w:szCs w:val="24"/>
        </w:rPr>
        <w:t>The parent-employee dies;</w:t>
      </w:r>
    </w:p>
    <w:p w14:paraId="773838A7" w14:textId="77777777" w:rsidR="003532D3" w:rsidRPr="00962089" w:rsidRDefault="0097469B" w:rsidP="003532D3">
      <w:pPr>
        <w:numPr>
          <w:ilvl w:val="0"/>
          <w:numId w:val="32"/>
        </w:numPr>
        <w:spacing w:after="120" w:line="240" w:lineRule="auto"/>
        <w:rPr>
          <w:rFonts w:eastAsia="Times New Roman"/>
          <w:sz w:val="24"/>
          <w:szCs w:val="24"/>
        </w:rPr>
      </w:pPr>
      <w:r w:rsidRPr="00962089">
        <w:rPr>
          <w:rFonts w:eastAsia="Times New Roman"/>
          <w:sz w:val="24"/>
          <w:szCs w:val="24"/>
        </w:rPr>
        <w:t>The parent-employee’s hours of employment are reduced;</w:t>
      </w:r>
    </w:p>
    <w:p w14:paraId="42E257FA" w14:textId="77777777" w:rsidR="003532D3" w:rsidRPr="00962089" w:rsidRDefault="0097469B" w:rsidP="003532D3">
      <w:pPr>
        <w:numPr>
          <w:ilvl w:val="0"/>
          <w:numId w:val="32"/>
        </w:numPr>
        <w:spacing w:after="120" w:line="240" w:lineRule="auto"/>
        <w:rPr>
          <w:rFonts w:eastAsia="Times New Roman"/>
          <w:sz w:val="24"/>
          <w:szCs w:val="24"/>
        </w:rPr>
      </w:pPr>
      <w:r w:rsidRPr="00962089">
        <w:rPr>
          <w:rFonts w:eastAsia="Times New Roman"/>
          <w:sz w:val="24"/>
          <w:szCs w:val="24"/>
        </w:rPr>
        <w:t xml:space="preserve">The parent-employee’s employment ends for any </w:t>
      </w:r>
      <w:r w:rsidRPr="00962089">
        <w:rPr>
          <w:rFonts w:eastAsia="Times New Roman"/>
          <w:sz w:val="24"/>
          <w:szCs w:val="24"/>
        </w:rPr>
        <w:t>reason other than his or her gross misconduct;</w:t>
      </w:r>
    </w:p>
    <w:p w14:paraId="0055EEA9" w14:textId="77777777" w:rsidR="003532D3" w:rsidRPr="00962089" w:rsidRDefault="0097469B" w:rsidP="003532D3">
      <w:pPr>
        <w:numPr>
          <w:ilvl w:val="0"/>
          <w:numId w:val="32"/>
        </w:numPr>
        <w:spacing w:after="120" w:line="240" w:lineRule="auto"/>
        <w:rPr>
          <w:rFonts w:eastAsia="Times New Roman"/>
          <w:sz w:val="24"/>
          <w:szCs w:val="24"/>
        </w:rPr>
      </w:pPr>
      <w:r w:rsidRPr="00962089">
        <w:rPr>
          <w:rFonts w:eastAsia="Times New Roman"/>
          <w:sz w:val="24"/>
          <w:szCs w:val="24"/>
        </w:rPr>
        <w:t>The parent-employee becomes entitled to Medicare benefits (Part A, Part B, or both);</w:t>
      </w:r>
    </w:p>
    <w:p w14:paraId="7BB17EE4" w14:textId="77777777" w:rsidR="003532D3" w:rsidRPr="00962089" w:rsidRDefault="0097469B" w:rsidP="003532D3">
      <w:pPr>
        <w:numPr>
          <w:ilvl w:val="0"/>
          <w:numId w:val="32"/>
        </w:numPr>
        <w:spacing w:after="120" w:line="240" w:lineRule="auto"/>
        <w:rPr>
          <w:rFonts w:eastAsia="Times New Roman"/>
          <w:sz w:val="24"/>
          <w:szCs w:val="24"/>
        </w:rPr>
      </w:pPr>
      <w:r w:rsidRPr="00962089">
        <w:rPr>
          <w:rFonts w:eastAsia="Times New Roman"/>
          <w:sz w:val="24"/>
          <w:szCs w:val="24"/>
        </w:rPr>
        <w:t>The parents become divorced or legally separated; or</w:t>
      </w:r>
    </w:p>
    <w:p w14:paraId="635DE531" w14:textId="77777777" w:rsidR="003532D3" w:rsidRPr="00962089" w:rsidRDefault="0097469B" w:rsidP="003532D3">
      <w:pPr>
        <w:numPr>
          <w:ilvl w:val="0"/>
          <w:numId w:val="32"/>
        </w:numPr>
        <w:spacing w:after="120" w:line="240" w:lineRule="auto"/>
        <w:rPr>
          <w:rFonts w:eastAsia="Times New Roman"/>
          <w:sz w:val="24"/>
          <w:szCs w:val="24"/>
        </w:rPr>
      </w:pPr>
      <w:r>
        <w:rPr>
          <w:rFonts w:eastAsia="Times New Roman"/>
          <w:noProof/>
          <w:sz w:val="24"/>
          <w:szCs w:val="24"/>
        </w:rPr>
        <mc:AlternateContent>
          <mc:Choice Requires="wps">
            <w:drawing>
              <wp:anchor distT="0" distB="0" distL="114300" distR="114300" simplePos="0" relativeHeight="251707392" behindDoc="0" locked="0" layoutInCell="1" allowOverlap="1" wp14:anchorId="1F9136AD" wp14:editId="20EB5CF9">
                <wp:simplePos x="0" y="0"/>
                <wp:positionH relativeFrom="column">
                  <wp:posOffset>0</wp:posOffset>
                </wp:positionH>
                <wp:positionV relativeFrom="paragraph">
                  <wp:posOffset>311150</wp:posOffset>
                </wp:positionV>
                <wp:extent cx="5943600" cy="1828800"/>
                <wp:effectExtent l="9525" t="6350" r="9525" b="12700"/>
                <wp:wrapSquare wrapText="bothSides"/>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28800"/>
                        </a:xfrm>
                        <a:prstGeom prst="rect">
                          <a:avLst/>
                        </a:prstGeom>
                        <a:solidFill>
                          <a:srgbClr val="FFFFFF"/>
                        </a:solidFill>
                        <a:ln w="9525">
                          <a:solidFill>
                            <a:srgbClr val="000000"/>
                          </a:solidFill>
                          <a:prstDash val="dash"/>
                          <a:miter lim="800000"/>
                          <a:headEnd/>
                          <a:tailEnd/>
                        </a:ln>
                      </wps:spPr>
                      <wps:txbx>
                        <w:txbxContent>
                          <w:p w14:paraId="3EEE6044" w14:textId="77777777" w:rsidR="005F4771" w:rsidRDefault="005F4771" w:rsidP="003532D3">
                            <w:pPr>
                              <w:pStyle w:val="BodyTextIndent"/>
                              <w:spacing w:line="240" w:lineRule="auto"/>
                            </w:pPr>
                          </w:p>
                          <w:p w14:paraId="59EFF974" w14:textId="77777777" w:rsidR="005F4771" w:rsidRPr="00094533" w:rsidRDefault="0097469B" w:rsidP="003532D3">
                            <w:pPr>
                              <w:pStyle w:val="BodyTextIndent"/>
                              <w:spacing w:line="240" w:lineRule="auto"/>
                              <w:rPr>
                                <w:color w:val="FF0000"/>
                              </w:rPr>
                            </w:pPr>
                            <w:r w:rsidRPr="00094533">
                              <w:rPr>
                                <w:color w:val="FF0000"/>
                              </w:rPr>
                              <w:t>[</w:t>
                            </w:r>
                            <w:r w:rsidRPr="00094533">
                              <w:rPr>
                                <w:i/>
                                <w:iCs/>
                                <w:color w:val="FF0000"/>
                              </w:rPr>
                              <w:t>If the Plan provides retiree health coverage, add the following paragraph:</w:t>
                            </w:r>
                            <w:r w:rsidRPr="00094533">
                              <w:rPr>
                                <w:color w:val="FF0000"/>
                              </w:rPr>
                              <w:t>]</w:t>
                            </w:r>
                          </w:p>
                          <w:p w14:paraId="6641AE6E" w14:textId="77777777" w:rsidR="005F4771" w:rsidRDefault="0097469B" w:rsidP="003532D3">
                            <w:pPr>
                              <w:pStyle w:val="BodyTextIndent"/>
                              <w:spacing w:line="240" w:lineRule="auto"/>
                            </w:pPr>
                            <w:r>
                              <w:t xml:space="preserve">Sometimes, filing a proceeding in bankruptcy under title 11 of the United States Code can be a qualifying event.  If a proceeding in bankruptcy is filed with respect </w:t>
                            </w:r>
                            <w:r w:rsidRPr="00094533">
                              <w:t>to</w:t>
                            </w:r>
                            <w:r w:rsidRPr="00094533">
                              <w:rPr>
                                <w:color w:val="FF0000"/>
                              </w:rPr>
                              <w:t xml:space="preserve"> [</w:t>
                            </w:r>
                            <w:r w:rsidRPr="00094533">
                              <w:rPr>
                                <w:i/>
                                <w:iCs/>
                                <w:color w:val="FF0000"/>
                              </w:rPr>
                              <w:t>enter name of employer sponsoring the Plan</w:t>
                            </w:r>
                            <w:r w:rsidRPr="00094533">
                              <w:rPr>
                                <w:color w:val="FF0000"/>
                              </w:rPr>
                              <w:t>]</w:t>
                            </w:r>
                            <w:r>
                              <w:t>, and that bankruptcy results in the loss of coverage of any retired employee covered under the Plan, the retired employee will become a qualified beneficiary.  The retired employee’s spouse, surviving spouse, and dependent children will also become qualified beneficiaries if bankruptcy results in the loss of their coverage under the Plan.</w:t>
                            </w:r>
                          </w:p>
                          <w:p w14:paraId="00CDA342" w14:textId="77777777" w:rsidR="005F4771" w:rsidRDefault="005F4771" w:rsidP="003532D3"/>
                        </w:txbxContent>
                      </wps:txbx>
                      <wps:bodyPr rot="0" vert="horz" wrap="square" lIns="91440" tIns="0" rIns="91440" bIns="0" anchor="t" anchorCtr="0" upright="1"/>
                    </wps:wsp>
                  </a:graphicData>
                </a:graphic>
                <wp14:sizeRelH relativeFrom="page">
                  <wp14:pctWidth>0</wp14:pctWidth>
                </wp14:sizeRelH>
                <wp14:sizeRelV relativeFrom="page">
                  <wp14:pctHeight>0</wp14:pctHeight>
                </wp14:sizeRelV>
              </wp:anchor>
            </w:drawing>
          </mc:Choice>
          <mc:Fallback>
            <w:pict>
              <v:shape id="Text Box 40" o:spid="_x0000_s1064" type="#_x0000_t202" style="width:468pt;height:2in;margin-top:24.5pt;margin-left:0;mso-height-percent:0;mso-height-relative:page;mso-width-percent:0;mso-width-relative:page;mso-wrap-distance-bottom:0;mso-wrap-distance-left:9pt;mso-wrap-distance-right:9pt;mso-wrap-distance-top:0;mso-wrap-style:square;position:absolute;v-text-anchor:top;visibility:visible;z-index:251708416">
                <v:stroke dashstyle="dash"/>
                <v:textbox inset=",0,,0">
                  <w:txbxContent>
                    <w:p w:rsidR="005F4771" w:rsidP="003532D3" w14:paraId="6066845C" w14:textId="77777777">
                      <w:pPr>
                        <w:pStyle w:val="BodyTextIndent"/>
                        <w:spacing w:line="240" w:lineRule="auto"/>
                      </w:pPr>
                    </w:p>
                    <w:p w:rsidR="005F4771" w:rsidRPr="00094533" w:rsidP="003532D3" w14:paraId="57F0A13A" w14:textId="77777777">
                      <w:pPr>
                        <w:pStyle w:val="BodyTextIndent"/>
                        <w:spacing w:line="240" w:lineRule="auto"/>
                        <w:rPr>
                          <w:color w:val="FF0000"/>
                        </w:rPr>
                      </w:pPr>
                      <w:r w:rsidRPr="00094533">
                        <w:rPr>
                          <w:color w:val="FF0000"/>
                        </w:rPr>
                        <w:t>[</w:t>
                      </w:r>
                      <w:r w:rsidRPr="00094533">
                        <w:rPr>
                          <w:i/>
                          <w:iCs/>
                          <w:color w:val="FF0000"/>
                        </w:rPr>
                        <w:t>If the Plan provides retiree health coverage, add the following paragraph:</w:t>
                      </w:r>
                      <w:r w:rsidRPr="00094533">
                        <w:rPr>
                          <w:color w:val="FF0000"/>
                        </w:rPr>
                        <w:t>]</w:t>
                      </w:r>
                    </w:p>
                    <w:p w:rsidR="005F4771" w:rsidP="003532D3" w14:paraId="45661CD0" w14:textId="77777777">
                      <w:pPr>
                        <w:pStyle w:val="BodyTextIndent"/>
                        <w:spacing w:line="240" w:lineRule="auto"/>
                      </w:pPr>
                      <w:r>
                        <w:t xml:space="preserve">Sometimes, filing a proceeding in bankruptcy under title 11 of the United States Code can be a qualifying event.  If a proceeding in bankruptcy is filed with respect </w:t>
                      </w:r>
                      <w:r w:rsidRPr="00094533">
                        <w:t>to</w:t>
                      </w:r>
                      <w:r w:rsidRPr="00094533">
                        <w:rPr>
                          <w:color w:val="FF0000"/>
                        </w:rPr>
                        <w:t xml:space="preserve"> [</w:t>
                      </w:r>
                      <w:r w:rsidRPr="00094533">
                        <w:rPr>
                          <w:i/>
                          <w:iCs/>
                          <w:color w:val="FF0000"/>
                        </w:rPr>
                        <w:t>enter name of employer sponsoring the Plan</w:t>
                      </w:r>
                      <w:r w:rsidRPr="00094533">
                        <w:rPr>
                          <w:color w:val="FF0000"/>
                        </w:rPr>
                        <w:t>]</w:t>
                      </w:r>
                      <w:r>
                        <w:t>, and that bankruptcy results in the loss of coverage of any retired employee covered under the Plan, the retired employee will become a qualified beneficiary.  The retired employee’s spouse, surviving spouse, and dependent children will also become qualified beneficiaries if bankruptcy results in the loss of their coverage under the Plan.</w:t>
                      </w:r>
                    </w:p>
                    <w:p w:rsidR="005F4771" w:rsidP="003532D3" w14:paraId="796C433B" w14:textId="77777777"/>
                  </w:txbxContent>
                </v:textbox>
                <w10:wrap type="square"/>
              </v:shape>
            </w:pict>
          </mc:Fallback>
        </mc:AlternateContent>
      </w:r>
      <w:r w:rsidR="003532D3" w:rsidRPr="00962089">
        <w:rPr>
          <w:rFonts w:eastAsia="Times New Roman"/>
          <w:sz w:val="24"/>
          <w:szCs w:val="24"/>
        </w:rPr>
        <w:t>The child stops being eligible for coverage under the Plan as a “dependent child.”</w:t>
      </w:r>
    </w:p>
    <w:p w14:paraId="242E747A" w14:textId="77777777" w:rsidR="003532D3" w:rsidRPr="00962089" w:rsidRDefault="003532D3" w:rsidP="003532D3">
      <w:pPr>
        <w:spacing w:after="120" w:line="240" w:lineRule="auto"/>
        <w:rPr>
          <w:rFonts w:eastAsia="Times New Roman"/>
          <w:b/>
          <w:bCs/>
          <w:sz w:val="24"/>
          <w:szCs w:val="24"/>
        </w:rPr>
      </w:pPr>
    </w:p>
    <w:p w14:paraId="25372079" w14:textId="77777777" w:rsidR="003532D3" w:rsidRPr="00962089" w:rsidRDefault="0097469B" w:rsidP="003532D3">
      <w:pPr>
        <w:spacing w:after="120" w:line="240" w:lineRule="auto"/>
        <w:rPr>
          <w:rFonts w:eastAsia="Times New Roman"/>
          <w:b/>
          <w:bCs/>
          <w:sz w:val="24"/>
          <w:szCs w:val="24"/>
        </w:rPr>
      </w:pPr>
      <w:r w:rsidRPr="00962089">
        <w:rPr>
          <w:rFonts w:eastAsia="Times New Roman"/>
          <w:b/>
          <w:bCs/>
          <w:sz w:val="24"/>
          <w:szCs w:val="24"/>
        </w:rPr>
        <w:t>When is COBRA continuation coverage available?</w:t>
      </w:r>
    </w:p>
    <w:p w14:paraId="4EE5859E"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The Plan will offer COBRA continuation coverage to qualified </w:t>
      </w:r>
      <w:r w:rsidRPr="00962089">
        <w:rPr>
          <w:rFonts w:eastAsia="Times New Roman"/>
          <w:sz w:val="24"/>
          <w:szCs w:val="24"/>
        </w:rPr>
        <w:t>beneficiaries only after the Plan Administrator has been notified that a qualifying event has occurred.  The employer must notify the Plan Administrator of the following qualifying events:</w:t>
      </w:r>
    </w:p>
    <w:p w14:paraId="5643D910" w14:textId="77777777" w:rsidR="003532D3" w:rsidRPr="00962089" w:rsidRDefault="0097469B" w:rsidP="003532D3">
      <w:pPr>
        <w:numPr>
          <w:ilvl w:val="0"/>
          <w:numId w:val="33"/>
        </w:numPr>
        <w:spacing w:after="120" w:line="240" w:lineRule="auto"/>
        <w:rPr>
          <w:rFonts w:eastAsia="Times New Roman"/>
          <w:sz w:val="24"/>
          <w:szCs w:val="24"/>
        </w:rPr>
      </w:pPr>
      <w:r w:rsidRPr="00962089">
        <w:rPr>
          <w:rFonts w:eastAsia="Times New Roman"/>
          <w:sz w:val="24"/>
          <w:szCs w:val="24"/>
        </w:rPr>
        <w:t xml:space="preserve">The end of employment or reduction of hours of employment; </w:t>
      </w:r>
    </w:p>
    <w:p w14:paraId="03EB0C6A" w14:textId="77777777" w:rsidR="003532D3" w:rsidRPr="00962089" w:rsidRDefault="0097469B" w:rsidP="003532D3">
      <w:pPr>
        <w:numPr>
          <w:ilvl w:val="0"/>
          <w:numId w:val="33"/>
        </w:numPr>
        <w:spacing w:after="120" w:line="240" w:lineRule="auto"/>
        <w:rPr>
          <w:rFonts w:eastAsia="Times New Roman"/>
          <w:sz w:val="24"/>
          <w:szCs w:val="24"/>
        </w:rPr>
      </w:pPr>
      <w:r w:rsidRPr="00962089">
        <w:rPr>
          <w:rFonts w:eastAsia="Times New Roman"/>
          <w:sz w:val="24"/>
          <w:szCs w:val="24"/>
        </w:rPr>
        <w:t xml:space="preserve">Death of the employee; </w:t>
      </w:r>
    </w:p>
    <w:p w14:paraId="6B47EA90" w14:textId="77777777" w:rsidR="003532D3" w:rsidRPr="00962089" w:rsidRDefault="0097469B" w:rsidP="003532D3">
      <w:pPr>
        <w:numPr>
          <w:ilvl w:val="0"/>
          <w:numId w:val="33"/>
        </w:numPr>
        <w:spacing w:after="120" w:line="240" w:lineRule="auto"/>
        <w:rPr>
          <w:rFonts w:eastAsia="Times New Roman"/>
          <w:sz w:val="24"/>
          <w:szCs w:val="24"/>
        </w:rPr>
      </w:pPr>
      <w:r w:rsidRPr="00962089">
        <w:rPr>
          <w:rFonts w:eastAsia="Times New Roman"/>
          <w:color w:val="FF0000"/>
          <w:sz w:val="24"/>
          <w:szCs w:val="24"/>
        </w:rPr>
        <w:t>[</w:t>
      </w:r>
      <w:r w:rsidRPr="00962089">
        <w:rPr>
          <w:rFonts w:eastAsia="Times New Roman"/>
          <w:i/>
          <w:iCs/>
          <w:color w:val="FF0000"/>
          <w:sz w:val="24"/>
          <w:szCs w:val="24"/>
        </w:rPr>
        <w:t>add if Plan provides retiree health coverage:</w:t>
      </w:r>
      <w:r w:rsidRPr="00962089">
        <w:rPr>
          <w:rFonts w:eastAsia="Times New Roman"/>
          <w:sz w:val="24"/>
          <w:szCs w:val="24"/>
        </w:rPr>
        <w:t xml:space="preserve">  Commencement of a proceeding in bankruptcy with respect to the employer;]; or </w:t>
      </w:r>
    </w:p>
    <w:p w14:paraId="40FE8F06" w14:textId="77777777" w:rsidR="003532D3" w:rsidRPr="00962089" w:rsidRDefault="0097469B" w:rsidP="003532D3">
      <w:pPr>
        <w:numPr>
          <w:ilvl w:val="0"/>
          <w:numId w:val="33"/>
        </w:numPr>
        <w:spacing w:after="120" w:line="240" w:lineRule="auto"/>
        <w:rPr>
          <w:rFonts w:eastAsia="Times New Roman"/>
          <w:sz w:val="24"/>
          <w:szCs w:val="24"/>
        </w:rPr>
      </w:pPr>
      <w:r w:rsidRPr="00962089">
        <w:rPr>
          <w:rFonts w:eastAsia="Times New Roman"/>
          <w:sz w:val="24"/>
          <w:szCs w:val="24"/>
        </w:rPr>
        <w:t>The employee’s becoming entitled to Medicare benefits (under Part A, Part B, or both).</w:t>
      </w:r>
    </w:p>
    <w:p w14:paraId="00C1A4A3" w14:textId="77777777" w:rsidR="003532D3" w:rsidRPr="00962089" w:rsidRDefault="0097469B" w:rsidP="003532D3">
      <w:pPr>
        <w:spacing w:after="120" w:line="240" w:lineRule="auto"/>
        <w:rPr>
          <w:rFonts w:eastAsia="Times New Roman"/>
          <w:b/>
          <w:bCs/>
          <w:color w:val="FF0000"/>
          <w:sz w:val="24"/>
          <w:szCs w:val="24"/>
        </w:rPr>
      </w:pPr>
      <w:r w:rsidRPr="00962089">
        <w:rPr>
          <w:rFonts w:eastAsia="Times New Roman"/>
          <w:b/>
          <w:bCs/>
          <w:sz w:val="24"/>
          <w:szCs w:val="24"/>
        </w:rPr>
        <w:t xml:space="preserve">For all other qualifying events (divorce or legal separation of the employee and spouse or a dependent child’s losing eligibility for coverage as a dependent child), you must notify the Plan Administrator within 60 days </w:t>
      </w:r>
      <w:r w:rsidRPr="00962089">
        <w:rPr>
          <w:rFonts w:eastAsia="Times New Roman"/>
          <w:b/>
          <w:bCs/>
          <w:color w:val="FF0000"/>
          <w:sz w:val="24"/>
          <w:szCs w:val="24"/>
        </w:rPr>
        <w:t>[</w:t>
      </w:r>
      <w:r w:rsidRPr="00962089">
        <w:rPr>
          <w:rFonts w:eastAsia="Times New Roman"/>
          <w:b/>
          <w:bCs/>
          <w:i/>
          <w:iCs/>
          <w:color w:val="FF0000"/>
          <w:sz w:val="24"/>
          <w:szCs w:val="24"/>
        </w:rPr>
        <w:t>or enter longer period permitted under the terms of the Plan</w:t>
      </w:r>
      <w:r w:rsidRPr="00962089">
        <w:rPr>
          <w:rFonts w:eastAsia="Times New Roman"/>
          <w:b/>
          <w:bCs/>
          <w:color w:val="FF0000"/>
          <w:sz w:val="24"/>
          <w:szCs w:val="24"/>
        </w:rPr>
        <w:t xml:space="preserve">] </w:t>
      </w:r>
      <w:r w:rsidRPr="00962089">
        <w:rPr>
          <w:rFonts w:eastAsia="Times New Roman"/>
          <w:b/>
          <w:bCs/>
          <w:sz w:val="24"/>
          <w:szCs w:val="24"/>
        </w:rPr>
        <w:t xml:space="preserve">after the qualifying event occurs.  You must provide this notice to: </w:t>
      </w:r>
      <w:r w:rsidRPr="00962089">
        <w:rPr>
          <w:rFonts w:eastAsia="Times New Roman"/>
          <w:b/>
          <w:bCs/>
          <w:color w:val="FF0000"/>
          <w:sz w:val="24"/>
          <w:szCs w:val="24"/>
        </w:rPr>
        <w:t>[</w:t>
      </w:r>
      <w:r w:rsidRPr="00962089">
        <w:rPr>
          <w:rFonts w:eastAsia="Times New Roman"/>
          <w:b/>
          <w:bCs/>
          <w:i/>
          <w:iCs/>
          <w:color w:val="FF0000"/>
          <w:sz w:val="24"/>
          <w:szCs w:val="24"/>
        </w:rPr>
        <w:t>Enter name of appropriate party</w:t>
      </w:r>
      <w:r w:rsidRPr="00962089">
        <w:rPr>
          <w:rFonts w:eastAsia="Times New Roman"/>
          <w:b/>
          <w:bCs/>
          <w:color w:val="FF0000"/>
          <w:sz w:val="24"/>
          <w:szCs w:val="24"/>
        </w:rPr>
        <w:t>].</w:t>
      </w:r>
      <w:r w:rsidRPr="00962089">
        <w:rPr>
          <w:rFonts w:eastAsia="Times New Roman"/>
          <w:b/>
          <w:bCs/>
          <w:i/>
          <w:iCs/>
          <w:color w:val="FF0000"/>
          <w:sz w:val="24"/>
          <w:szCs w:val="24"/>
        </w:rPr>
        <w:t xml:space="preserve">  </w:t>
      </w:r>
      <w:r w:rsidRPr="00962089">
        <w:rPr>
          <w:rFonts w:eastAsia="Times New Roman"/>
          <w:b/>
          <w:bCs/>
          <w:color w:val="FF0000"/>
          <w:sz w:val="24"/>
          <w:szCs w:val="24"/>
        </w:rPr>
        <w:t>[</w:t>
      </w:r>
      <w:r w:rsidRPr="00962089">
        <w:rPr>
          <w:rFonts w:eastAsia="Times New Roman"/>
          <w:b/>
          <w:bCs/>
          <w:i/>
          <w:iCs/>
          <w:color w:val="FF0000"/>
          <w:sz w:val="24"/>
          <w:szCs w:val="24"/>
        </w:rPr>
        <w:t>Add description of any additional Plan procedures for this notice, including a description of any required information or documentation.</w:t>
      </w:r>
      <w:r w:rsidRPr="00962089">
        <w:rPr>
          <w:rFonts w:eastAsia="Times New Roman"/>
          <w:b/>
          <w:bCs/>
          <w:color w:val="FF0000"/>
          <w:sz w:val="24"/>
          <w:szCs w:val="24"/>
        </w:rPr>
        <w:t>]</w:t>
      </w:r>
    </w:p>
    <w:p w14:paraId="1FD5B152" w14:textId="77777777" w:rsidR="003532D3" w:rsidRPr="00962089" w:rsidRDefault="0097469B" w:rsidP="003532D3">
      <w:pPr>
        <w:spacing w:after="120" w:line="240" w:lineRule="auto"/>
        <w:rPr>
          <w:rFonts w:eastAsia="Times New Roman"/>
          <w:b/>
          <w:bCs/>
          <w:sz w:val="24"/>
          <w:szCs w:val="24"/>
        </w:rPr>
      </w:pPr>
      <w:r w:rsidRPr="00962089">
        <w:rPr>
          <w:rFonts w:eastAsia="Times New Roman"/>
          <w:b/>
          <w:bCs/>
          <w:sz w:val="24"/>
          <w:szCs w:val="24"/>
        </w:rPr>
        <w:lastRenderedPageBreak/>
        <w:t>How is COBRA continuation coverage provided?</w:t>
      </w:r>
    </w:p>
    <w:p w14:paraId="640061CB"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Once the Plan Administrator receives notice that a qualifying event has occurred, COBRA continuation coverage will be offered to each of the qualified beneficiaries.  Each qualified beneficiary will have an independent right to elect COBRA continuation coverage.  Covered employees may elect COBRA continuation coverage on behalf of their spouses, and parents may elect COBRA continuation coverage on behalf of their children.  </w:t>
      </w:r>
    </w:p>
    <w:p w14:paraId="7DB48744"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COBRA continuation coverage is a temporary continuation of coverage that generally lasts for 18 months d</w:t>
      </w:r>
      <w:r w:rsidRPr="00962089">
        <w:rPr>
          <w:rFonts w:eastAsia="Times New Roman"/>
          <w:color w:val="000000"/>
          <w:sz w:val="24"/>
          <w:szCs w:val="24"/>
        </w:rPr>
        <w:t>ue to employment termination or reduction of hours of work.</w:t>
      </w:r>
      <w:r w:rsidRPr="00962089">
        <w:rPr>
          <w:rFonts w:eastAsia="Times New Roman" w:cs="Tahoma"/>
          <w:color w:val="000000"/>
          <w:sz w:val="24"/>
          <w:szCs w:val="24"/>
        </w:rPr>
        <w:t xml:space="preserve"> </w:t>
      </w:r>
      <w:r w:rsidRPr="00962089">
        <w:rPr>
          <w:rFonts w:eastAsia="Times New Roman"/>
          <w:color w:val="000000"/>
          <w:sz w:val="24"/>
          <w:szCs w:val="24"/>
        </w:rPr>
        <w:t xml:space="preserve">Certain qualifying events, or a second qualifying event during the initial period of coverage, may permit a beneficiary to receive a </w:t>
      </w:r>
      <w:r w:rsidRPr="00962089">
        <w:rPr>
          <w:rFonts w:eastAsia="Times New Roman"/>
          <w:color w:val="000000"/>
          <w:sz w:val="24"/>
          <w:szCs w:val="24"/>
        </w:rPr>
        <w:t>maximum of 36 months of coverage.</w:t>
      </w:r>
    </w:p>
    <w:p w14:paraId="11B62E0C"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There are also ways in which this 18-month period of COBRA continuation coverage can be extended:  </w:t>
      </w:r>
    </w:p>
    <w:p w14:paraId="15113D08" w14:textId="77777777" w:rsidR="003532D3" w:rsidRPr="00962089" w:rsidRDefault="0097469B" w:rsidP="003532D3">
      <w:pPr>
        <w:spacing w:after="120" w:line="240" w:lineRule="auto"/>
        <w:rPr>
          <w:rFonts w:eastAsia="Times New Roman"/>
          <w:b/>
          <w:bCs/>
          <w:i/>
          <w:iCs/>
          <w:sz w:val="24"/>
          <w:szCs w:val="24"/>
        </w:rPr>
      </w:pPr>
      <w:r w:rsidRPr="00962089">
        <w:rPr>
          <w:rFonts w:eastAsia="Times New Roman"/>
          <w:b/>
          <w:bCs/>
          <w:i/>
          <w:iCs/>
          <w:sz w:val="24"/>
          <w:szCs w:val="24"/>
        </w:rPr>
        <w:t>Disability extension of 18-month period of COBRA continuation coverage</w:t>
      </w:r>
    </w:p>
    <w:p w14:paraId="515F17FF" w14:textId="77777777" w:rsidR="003532D3" w:rsidRPr="00962089" w:rsidRDefault="0097469B" w:rsidP="003532D3">
      <w:pPr>
        <w:spacing w:after="120" w:line="240" w:lineRule="auto"/>
        <w:rPr>
          <w:rFonts w:eastAsia="Times New Roman"/>
          <w:i/>
          <w:iCs/>
          <w:color w:val="FF0000"/>
          <w:sz w:val="24"/>
          <w:szCs w:val="24"/>
        </w:rPr>
      </w:pPr>
      <w:r w:rsidRPr="00962089">
        <w:rPr>
          <w:rFonts w:eastAsia="Times New Roman"/>
          <w:sz w:val="24"/>
          <w:szCs w:val="24"/>
        </w:rPr>
        <w:t xml:space="preserve">If you or anyone in your family covered under the Plan is determined by Social Security to be disabled and you notify the Plan Administrator in a timely fashion, you and your entire family may be entitled to get up to an additional 11 months of COBRA continuation coverage, for a maximum of 29 months.  The disability would have to have started at some time before the 60th day of COBRA continuation coverage and must last at least until the end of the 18-month period of COBRA continuation coverage.  </w:t>
      </w:r>
      <w:r w:rsidRPr="00962089">
        <w:rPr>
          <w:rFonts w:eastAsia="Times New Roman"/>
          <w:color w:val="FF0000"/>
          <w:sz w:val="24"/>
          <w:szCs w:val="24"/>
        </w:rPr>
        <w:t>[</w:t>
      </w:r>
      <w:r w:rsidRPr="00962089">
        <w:rPr>
          <w:rFonts w:eastAsia="Times New Roman"/>
          <w:i/>
          <w:iCs/>
          <w:color w:val="FF0000"/>
          <w:sz w:val="24"/>
          <w:szCs w:val="24"/>
        </w:rPr>
        <w:t>Add description of any additional Plan procedures for this notice, including a description of any required information or documentation, the name of the appropriate party to whom notice must be sent, and the time period for giving notice.</w:t>
      </w:r>
      <w:r w:rsidRPr="00962089">
        <w:rPr>
          <w:rFonts w:eastAsia="Times New Roman"/>
          <w:color w:val="FF0000"/>
          <w:sz w:val="24"/>
          <w:szCs w:val="24"/>
        </w:rPr>
        <w:t>]</w:t>
      </w:r>
      <w:r w:rsidRPr="00962089">
        <w:rPr>
          <w:rFonts w:eastAsia="Times New Roman"/>
          <w:i/>
          <w:iCs/>
          <w:color w:val="FF0000"/>
          <w:sz w:val="24"/>
          <w:szCs w:val="24"/>
        </w:rPr>
        <w:t xml:space="preserve"> </w:t>
      </w:r>
    </w:p>
    <w:p w14:paraId="48288567" w14:textId="77777777" w:rsidR="003532D3" w:rsidRPr="00962089" w:rsidRDefault="0097469B" w:rsidP="003532D3">
      <w:pPr>
        <w:spacing w:after="120" w:line="240" w:lineRule="auto"/>
        <w:rPr>
          <w:rFonts w:eastAsia="Times New Roman"/>
          <w:b/>
          <w:bCs/>
          <w:i/>
          <w:iCs/>
          <w:sz w:val="24"/>
          <w:szCs w:val="24"/>
        </w:rPr>
      </w:pPr>
      <w:r w:rsidRPr="00962089">
        <w:rPr>
          <w:rFonts w:eastAsia="Times New Roman"/>
          <w:b/>
          <w:bCs/>
          <w:i/>
          <w:iCs/>
          <w:sz w:val="24"/>
          <w:szCs w:val="24"/>
        </w:rPr>
        <w:t>Second qualifying event extension of 18-month period of continuation coverage</w:t>
      </w:r>
    </w:p>
    <w:p w14:paraId="55928C3F"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If your family experiences another qualifying event during the 18 months of COBRA continuation coverage, the spouse and dependent children in your family can get up to 18 additional months of COBRA continuation coverage, for a maximum of 36 months, if the Plan is properly notified about the second qualifying event.  This extension may be available to the spouse and any dependent children getting COBRA continuation coverage if the employee or former employee dies; becomes entitled to Medicare benefits (under</w:t>
      </w:r>
      <w:r w:rsidRPr="00962089">
        <w:rPr>
          <w:rFonts w:eastAsia="Times New Roman"/>
          <w:sz w:val="24"/>
          <w:szCs w:val="24"/>
        </w:rPr>
        <w:t xml:space="preserve"> Part A, Part B, or both); gets divorced or legally separated; or if the dependent child stops being eligible under the Plan as a dependent child.  This extension is only available if the second qualifying event would have caused the spouse or dependent child to lose coverage under the Plan had the first qualifying event not occurred.</w:t>
      </w:r>
    </w:p>
    <w:p w14:paraId="721B1FD4" w14:textId="77777777" w:rsidR="003532D3" w:rsidRPr="00962089" w:rsidRDefault="0097469B" w:rsidP="003532D3">
      <w:pPr>
        <w:spacing w:after="120" w:line="240" w:lineRule="auto"/>
        <w:rPr>
          <w:rFonts w:eastAsia="Times New Roman"/>
          <w:b/>
          <w:bCs/>
          <w:sz w:val="24"/>
          <w:szCs w:val="24"/>
        </w:rPr>
      </w:pPr>
      <w:r w:rsidRPr="00962089">
        <w:rPr>
          <w:rFonts w:eastAsia="Times New Roman"/>
          <w:b/>
          <w:bCs/>
          <w:sz w:val="24"/>
          <w:szCs w:val="24"/>
        </w:rPr>
        <w:t>Are there other coverage options besides COBRA Continuation Coverage?</w:t>
      </w:r>
    </w:p>
    <w:p w14:paraId="15A10B25" w14:textId="77777777" w:rsidR="003532D3" w:rsidRDefault="0097469B" w:rsidP="003532D3">
      <w:pPr>
        <w:spacing w:after="120" w:line="240" w:lineRule="auto"/>
        <w:rPr>
          <w:rFonts w:eastAsia="Times New Roman"/>
          <w:sz w:val="24"/>
          <w:szCs w:val="24"/>
        </w:rPr>
      </w:pPr>
      <w:r w:rsidRPr="00962089">
        <w:rPr>
          <w:rFonts w:eastAsia="Times New Roman"/>
          <w:sz w:val="24"/>
          <w:szCs w:val="24"/>
        </w:rPr>
        <w:t xml:space="preserve">Yes.  Instead of enrolling in COBRA continuation coverage, there may be other coverage options for you and your family through the Health Insurance Marketplace, </w:t>
      </w:r>
      <w:r w:rsidR="002C643D">
        <w:rPr>
          <w:rFonts w:eastAsia="Times New Roman"/>
          <w:sz w:val="24"/>
          <w:szCs w:val="24"/>
        </w:rPr>
        <w:t xml:space="preserve">Medicare, </w:t>
      </w:r>
      <w:r w:rsidRPr="00962089">
        <w:rPr>
          <w:rFonts w:eastAsia="Times New Roman"/>
          <w:sz w:val="24"/>
          <w:szCs w:val="24"/>
        </w:rPr>
        <w:t xml:space="preserve">Medicaid, </w:t>
      </w:r>
      <w:r w:rsidR="002C643D">
        <w:rPr>
          <w:rFonts w:eastAsia="Times New Roman"/>
          <w:sz w:val="24"/>
          <w:szCs w:val="24"/>
        </w:rPr>
        <w:t xml:space="preserve">the Children’s Health Insurance Program (CHIP), </w:t>
      </w:r>
      <w:r w:rsidRPr="00962089">
        <w:rPr>
          <w:rFonts w:eastAsia="Times New Roman"/>
          <w:sz w:val="24"/>
          <w:szCs w:val="24"/>
        </w:rPr>
        <w:t xml:space="preserve">or other group health plan coverage options (such as a spouse’s plan) through what is called a “special enrollment period.”   Some of these options may cost less than COBRA continuation coverage.   You can learn more about many of these options at </w:t>
      </w:r>
      <w:hyperlink r:id="rId15" w:history="1">
        <w:r w:rsidRPr="00962089">
          <w:rPr>
            <w:rStyle w:val="Hyperlink"/>
            <w:rFonts w:eastAsia="Times New Roman"/>
            <w:sz w:val="24"/>
            <w:szCs w:val="24"/>
          </w:rPr>
          <w:t>www.healthcare.gov</w:t>
        </w:r>
      </w:hyperlink>
      <w:r w:rsidRPr="00962089">
        <w:rPr>
          <w:rFonts w:eastAsia="Times New Roman"/>
          <w:sz w:val="24"/>
          <w:szCs w:val="24"/>
        </w:rPr>
        <w:t>.</w:t>
      </w:r>
    </w:p>
    <w:p w14:paraId="5E35391F" w14:textId="77777777" w:rsidR="0018341A" w:rsidRPr="00962089" w:rsidRDefault="0097469B" w:rsidP="0018341A">
      <w:pPr>
        <w:spacing w:after="120" w:line="240" w:lineRule="auto"/>
        <w:rPr>
          <w:rFonts w:eastAsia="Times New Roman"/>
          <w:b/>
          <w:bCs/>
          <w:sz w:val="24"/>
          <w:szCs w:val="24"/>
        </w:rPr>
      </w:pPr>
      <w:r>
        <w:rPr>
          <w:rFonts w:eastAsia="Times New Roman"/>
          <w:b/>
          <w:bCs/>
          <w:sz w:val="24"/>
          <w:szCs w:val="24"/>
        </w:rPr>
        <w:t>Can I enroll in Medicare instead of</w:t>
      </w:r>
      <w:r w:rsidRPr="00962089">
        <w:rPr>
          <w:rFonts w:eastAsia="Times New Roman"/>
          <w:b/>
          <w:bCs/>
          <w:sz w:val="24"/>
          <w:szCs w:val="24"/>
        </w:rPr>
        <w:t xml:space="preserve"> COBRA </w:t>
      </w:r>
      <w:r>
        <w:rPr>
          <w:rFonts w:eastAsia="Times New Roman"/>
          <w:b/>
          <w:bCs/>
          <w:sz w:val="24"/>
          <w:szCs w:val="24"/>
        </w:rPr>
        <w:t>c</w:t>
      </w:r>
      <w:r w:rsidRPr="00962089">
        <w:rPr>
          <w:rFonts w:eastAsia="Times New Roman"/>
          <w:b/>
          <w:bCs/>
          <w:sz w:val="24"/>
          <w:szCs w:val="24"/>
        </w:rPr>
        <w:t xml:space="preserve">ontinuation </w:t>
      </w:r>
      <w:r>
        <w:rPr>
          <w:rFonts w:eastAsia="Times New Roman"/>
          <w:b/>
          <w:bCs/>
          <w:sz w:val="24"/>
          <w:szCs w:val="24"/>
        </w:rPr>
        <w:t>c</w:t>
      </w:r>
      <w:r w:rsidRPr="00962089">
        <w:rPr>
          <w:rFonts w:eastAsia="Times New Roman"/>
          <w:b/>
          <w:bCs/>
          <w:sz w:val="24"/>
          <w:szCs w:val="24"/>
        </w:rPr>
        <w:t>overage</w:t>
      </w:r>
      <w:r>
        <w:rPr>
          <w:rFonts w:eastAsia="Times New Roman"/>
          <w:b/>
          <w:bCs/>
          <w:sz w:val="24"/>
          <w:szCs w:val="24"/>
        </w:rPr>
        <w:t xml:space="preserve"> after my group health plan coverage ends</w:t>
      </w:r>
      <w:r w:rsidRPr="00962089">
        <w:rPr>
          <w:rFonts w:eastAsia="Times New Roman"/>
          <w:b/>
          <w:bCs/>
          <w:sz w:val="24"/>
          <w:szCs w:val="24"/>
        </w:rPr>
        <w:t>?</w:t>
      </w:r>
    </w:p>
    <w:p w14:paraId="3ADD3A52" w14:textId="77777777" w:rsidR="001E5350" w:rsidRPr="001E5350" w:rsidRDefault="0097469B" w:rsidP="001E5350">
      <w:pPr>
        <w:spacing w:after="120" w:line="240" w:lineRule="auto"/>
        <w:rPr>
          <w:rFonts w:eastAsia="Times New Roman"/>
          <w:sz w:val="24"/>
          <w:szCs w:val="24"/>
        </w:rPr>
      </w:pPr>
      <w:r w:rsidRPr="001E5350">
        <w:rPr>
          <w:rFonts w:eastAsia="Times New Roman"/>
          <w:sz w:val="24"/>
          <w:szCs w:val="24"/>
        </w:rPr>
        <w:lastRenderedPageBreak/>
        <w:t>In general, if you don’t enroll in Medicare Part A or B when you are first eligible because you are still employed, after the Medicare initial enrollment period, you have an 8-month special enrollment period to sign up for Medicare Part A or B, beginning on the earlier of</w:t>
      </w:r>
      <w:r w:rsidR="00EF7EEC">
        <w:rPr>
          <w:rFonts w:eastAsia="Times New Roman"/>
          <w:sz w:val="24"/>
          <w:szCs w:val="24"/>
        </w:rPr>
        <w:t>:</w:t>
      </w:r>
    </w:p>
    <w:p w14:paraId="54133062" w14:textId="77777777" w:rsidR="001E5350" w:rsidRDefault="0097469B" w:rsidP="001E5350">
      <w:pPr>
        <w:pStyle w:val="ListParagraph"/>
        <w:numPr>
          <w:ilvl w:val="0"/>
          <w:numId w:val="35"/>
        </w:numPr>
        <w:spacing w:after="120" w:line="240" w:lineRule="auto"/>
        <w:rPr>
          <w:rFonts w:eastAsia="Times New Roman"/>
          <w:sz w:val="24"/>
          <w:szCs w:val="24"/>
        </w:rPr>
      </w:pPr>
      <w:r w:rsidRPr="001E5350">
        <w:rPr>
          <w:rFonts w:eastAsia="Times New Roman"/>
          <w:sz w:val="24"/>
          <w:szCs w:val="24"/>
        </w:rPr>
        <w:t>The month after your employment ends; or</w:t>
      </w:r>
    </w:p>
    <w:p w14:paraId="7F33FC36" w14:textId="77777777" w:rsidR="001E5350" w:rsidRPr="001E5350" w:rsidRDefault="0097469B" w:rsidP="001E5350">
      <w:pPr>
        <w:pStyle w:val="ListParagraph"/>
        <w:numPr>
          <w:ilvl w:val="0"/>
          <w:numId w:val="35"/>
        </w:numPr>
        <w:spacing w:after="120" w:line="240" w:lineRule="auto"/>
        <w:rPr>
          <w:rFonts w:eastAsia="Times New Roman"/>
          <w:sz w:val="24"/>
          <w:szCs w:val="24"/>
        </w:rPr>
      </w:pPr>
      <w:r w:rsidRPr="001E5350">
        <w:rPr>
          <w:rFonts w:eastAsia="Times New Roman"/>
          <w:sz w:val="24"/>
          <w:szCs w:val="24"/>
        </w:rPr>
        <w:t>The month after group health plan coverage based on current employment ends.</w:t>
      </w:r>
    </w:p>
    <w:p w14:paraId="085F90F1" w14:textId="77777777" w:rsidR="001E5350" w:rsidRPr="001E5350" w:rsidRDefault="0097469B" w:rsidP="001E5350">
      <w:pPr>
        <w:spacing w:after="120" w:line="240" w:lineRule="auto"/>
        <w:rPr>
          <w:rFonts w:eastAsia="Times New Roman"/>
          <w:sz w:val="24"/>
          <w:szCs w:val="24"/>
        </w:rPr>
      </w:pPr>
      <w:r w:rsidRPr="001E5350">
        <w:rPr>
          <w:rFonts w:eastAsia="Times New Roman"/>
          <w:sz w:val="24"/>
          <w:szCs w:val="24"/>
        </w:rPr>
        <w:t>If you don’t enroll in Medicare and elect COBRA continuation coverage instead, you may have to pay a Part B late enrollment penalty and you may have a gap in coverage if you decide you want Part B later.  If you elect COBRA continuation coverage and later enroll in Medicare Part A or B before the COBRA continuation coverage ends, the Plan may terminate your continuation coverage.  However, if Medicare Part A or B is effective on or before the date of the COBRA election, COBRA coverage may not be discontinue</w:t>
      </w:r>
      <w:r w:rsidRPr="001E5350">
        <w:rPr>
          <w:rFonts w:eastAsia="Times New Roman"/>
          <w:sz w:val="24"/>
          <w:szCs w:val="24"/>
        </w:rPr>
        <w:t>d on account of Medicare entitlement, even if you enroll in the other part of Medicare after the date of the election of COBRA coverage.</w:t>
      </w:r>
    </w:p>
    <w:p w14:paraId="554821A0" w14:textId="77777777" w:rsidR="001E5350" w:rsidRPr="001E5350" w:rsidRDefault="0097469B" w:rsidP="001E5350">
      <w:pPr>
        <w:spacing w:after="120" w:line="240" w:lineRule="auto"/>
        <w:rPr>
          <w:rFonts w:eastAsia="Times New Roman"/>
          <w:sz w:val="24"/>
          <w:szCs w:val="24"/>
        </w:rPr>
      </w:pPr>
      <w:r w:rsidRPr="001E5350">
        <w:rPr>
          <w:rFonts w:eastAsia="Times New Roman"/>
          <w:sz w:val="24"/>
          <w:szCs w:val="24"/>
        </w:rPr>
        <w:t>If you are enrolled in both COBRA continuation coverage and Medicare, Medicare will generally pay first (primary payer) and COBRA continuation coverage will pay second.  Certain plans may pay as if secondary to Medicare, even if you are not enrolled in Medicare.</w:t>
      </w:r>
    </w:p>
    <w:p w14:paraId="4B3EDA2E" w14:textId="77777777" w:rsidR="0018341A" w:rsidRDefault="0097469B" w:rsidP="001E5350">
      <w:pPr>
        <w:spacing w:after="120" w:line="240" w:lineRule="auto"/>
        <w:rPr>
          <w:rFonts w:eastAsia="Times New Roman"/>
          <w:sz w:val="24"/>
          <w:szCs w:val="24"/>
        </w:rPr>
      </w:pPr>
      <w:r w:rsidRPr="001E5350">
        <w:rPr>
          <w:rFonts w:eastAsia="Times New Roman"/>
          <w:sz w:val="24"/>
          <w:szCs w:val="24"/>
        </w:rPr>
        <w:t xml:space="preserve">For more information visit </w:t>
      </w:r>
      <w:hyperlink r:id="rId16" w:history="1">
        <w:r w:rsidR="00EF7EEC" w:rsidRPr="009E413E">
          <w:rPr>
            <w:rStyle w:val="Hyperlink"/>
            <w:rFonts w:eastAsia="Times New Roman"/>
            <w:sz w:val="24"/>
            <w:szCs w:val="24"/>
          </w:rPr>
          <w:t>https://www.medicare.gov/medicare-and-you</w:t>
        </w:r>
      </w:hyperlink>
      <w:r w:rsidRPr="001E5350">
        <w:rPr>
          <w:rFonts w:eastAsia="Times New Roman"/>
          <w:sz w:val="24"/>
          <w:szCs w:val="24"/>
        </w:rPr>
        <w:t>.</w:t>
      </w:r>
    </w:p>
    <w:p w14:paraId="4544F57F" w14:textId="77777777" w:rsidR="003532D3" w:rsidRPr="00962089" w:rsidRDefault="0097469B" w:rsidP="003532D3">
      <w:pPr>
        <w:spacing w:after="120" w:line="240" w:lineRule="auto"/>
        <w:rPr>
          <w:rFonts w:eastAsia="Times New Roman"/>
          <w:b/>
          <w:bCs/>
          <w:sz w:val="24"/>
          <w:szCs w:val="24"/>
        </w:rPr>
      </w:pPr>
      <w:r w:rsidRPr="00962089">
        <w:rPr>
          <w:rFonts w:eastAsia="Times New Roman"/>
          <w:b/>
          <w:bCs/>
          <w:sz w:val="24"/>
          <w:szCs w:val="24"/>
        </w:rPr>
        <w:t>If you have questions</w:t>
      </w:r>
    </w:p>
    <w:p w14:paraId="018ADA5D"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Questions concerning your Plan or your COBRA continuation coverage rights should be addressed to the contact or contacts identified below.  For more information about your rights under the Employee Retirement Income Security Act (ERISA), including COBRA, the Patient Protection and Affordable Care Act, and other laws affecting group health plans, contact the nearest Regional or District Office of the U.S. Department of Labor’s Employee Benefits Security Administration (EBSA) in your area or visit </w:t>
      </w:r>
      <w:hyperlink r:id="rId17" w:history="1">
        <w:r w:rsidR="00EF7EEC" w:rsidRPr="009E413E">
          <w:rPr>
            <w:rStyle w:val="Hyperlink"/>
            <w:rFonts w:eastAsia="Times New Roman"/>
            <w:sz w:val="24"/>
            <w:szCs w:val="24"/>
          </w:rPr>
          <w:t>www.dol.gov/ebsa</w:t>
        </w:r>
      </w:hyperlink>
      <w:r w:rsidR="00EF7EEC">
        <w:rPr>
          <w:rFonts w:eastAsia="Times New Roman"/>
          <w:sz w:val="24"/>
          <w:szCs w:val="24"/>
        </w:rPr>
        <w:t xml:space="preserve">. </w:t>
      </w:r>
      <w:r w:rsidRPr="00962089">
        <w:rPr>
          <w:rFonts w:eastAsia="Times New Roman"/>
          <w:sz w:val="24"/>
          <w:szCs w:val="24"/>
        </w:rPr>
        <w:t xml:space="preserve">(Addresses and phone numbers of Regional and District EBSA Offices are available through EBSA’s website.)  For more information about the Marketplace, visit </w:t>
      </w:r>
      <w:hyperlink r:id="rId18" w:history="1">
        <w:r w:rsidRPr="00962089">
          <w:rPr>
            <w:rFonts w:eastAsia="Times New Roman"/>
            <w:color w:val="0000FF"/>
            <w:sz w:val="24"/>
            <w:szCs w:val="24"/>
            <w:u w:val="single"/>
          </w:rPr>
          <w:t>www.HealthCare.gov</w:t>
        </w:r>
      </w:hyperlink>
      <w:r w:rsidRPr="00962089">
        <w:rPr>
          <w:rFonts w:eastAsia="Times New Roman"/>
          <w:sz w:val="24"/>
          <w:szCs w:val="24"/>
        </w:rPr>
        <w:t xml:space="preserve">.  </w:t>
      </w:r>
    </w:p>
    <w:p w14:paraId="46E7D15D" w14:textId="77777777" w:rsidR="003532D3" w:rsidRPr="00962089" w:rsidRDefault="0097469B" w:rsidP="003532D3">
      <w:pPr>
        <w:spacing w:after="120" w:line="240" w:lineRule="auto"/>
        <w:rPr>
          <w:rFonts w:eastAsia="Times New Roman"/>
          <w:b/>
          <w:bCs/>
          <w:sz w:val="24"/>
          <w:szCs w:val="24"/>
        </w:rPr>
      </w:pPr>
      <w:r w:rsidRPr="00962089">
        <w:rPr>
          <w:rFonts w:eastAsia="Times New Roman"/>
          <w:b/>
          <w:bCs/>
          <w:sz w:val="24"/>
          <w:szCs w:val="24"/>
        </w:rPr>
        <w:t>Keep your Plan informed of address changes</w:t>
      </w:r>
    </w:p>
    <w:p w14:paraId="4657C3BD"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To protect your family’s rights, let the Plan Administrator know about any changes in the addresses of family members.</w:t>
      </w:r>
      <w:r w:rsidRPr="00962089">
        <w:rPr>
          <w:rFonts w:eastAsia="Times New Roman"/>
          <w:b/>
          <w:bCs/>
          <w:sz w:val="24"/>
          <w:szCs w:val="24"/>
        </w:rPr>
        <w:t xml:space="preserve">  </w:t>
      </w:r>
      <w:r w:rsidRPr="00962089">
        <w:rPr>
          <w:rFonts w:eastAsia="Times New Roman"/>
          <w:sz w:val="24"/>
          <w:szCs w:val="24"/>
        </w:rPr>
        <w:t>You should also keep a copy, for your records, of any notices you send to the Plan Administrator.</w:t>
      </w:r>
    </w:p>
    <w:p w14:paraId="2FFCFEA1" w14:textId="77777777" w:rsidR="003532D3" w:rsidRPr="00962089" w:rsidRDefault="0097469B" w:rsidP="003532D3">
      <w:pPr>
        <w:spacing w:after="120" w:line="240" w:lineRule="auto"/>
        <w:rPr>
          <w:rFonts w:eastAsia="Times New Roman"/>
          <w:sz w:val="24"/>
          <w:szCs w:val="24"/>
        </w:rPr>
      </w:pPr>
      <w:r w:rsidRPr="00962089">
        <w:rPr>
          <w:rFonts w:eastAsia="Times New Roman"/>
          <w:b/>
          <w:bCs/>
          <w:sz w:val="24"/>
          <w:szCs w:val="24"/>
        </w:rPr>
        <w:t>Plan contact information</w:t>
      </w:r>
    </w:p>
    <w:p w14:paraId="17C13F95" w14:textId="77777777" w:rsidR="003532D3" w:rsidRPr="00962089" w:rsidRDefault="0097469B" w:rsidP="003532D3">
      <w:pPr>
        <w:spacing w:after="120" w:line="240" w:lineRule="auto"/>
        <w:rPr>
          <w:rFonts w:eastAsia="Times New Roman"/>
          <w:color w:val="FF0000"/>
          <w:sz w:val="24"/>
          <w:szCs w:val="24"/>
        </w:rPr>
      </w:pPr>
      <w:r w:rsidRPr="00962089">
        <w:rPr>
          <w:rFonts w:eastAsia="Times New Roman"/>
          <w:color w:val="FF0000"/>
          <w:sz w:val="24"/>
          <w:szCs w:val="24"/>
        </w:rPr>
        <w:t>[</w:t>
      </w:r>
      <w:r w:rsidRPr="00962089">
        <w:rPr>
          <w:rFonts w:eastAsia="Times New Roman"/>
          <w:i/>
          <w:iCs/>
          <w:color w:val="FF0000"/>
          <w:sz w:val="24"/>
          <w:szCs w:val="24"/>
        </w:rPr>
        <w:t>Enter name of the Plan and name (or position), address and phone number of party or parties from whom information about the Plan and COBRA continuation coverage can be obtained on request.</w:t>
      </w:r>
      <w:r w:rsidRPr="00962089">
        <w:rPr>
          <w:rFonts w:eastAsia="Times New Roman"/>
          <w:color w:val="FF0000"/>
          <w:sz w:val="24"/>
          <w:szCs w:val="24"/>
        </w:rPr>
        <w:t>]</w:t>
      </w:r>
    </w:p>
    <w:p w14:paraId="6BB0E97A" w14:textId="77777777" w:rsidR="003532D3" w:rsidRPr="00962089" w:rsidRDefault="003532D3" w:rsidP="003532D3">
      <w:pPr>
        <w:pStyle w:val="BodyTextIndent"/>
        <w:spacing w:line="240" w:lineRule="auto"/>
        <w:ind w:left="0"/>
        <w:rPr>
          <w:sz w:val="24"/>
          <w:szCs w:val="24"/>
        </w:rPr>
      </w:pPr>
    </w:p>
    <w:p w14:paraId="7CF9EFEB" w14:textId="77777777" w:rsidR="003532D3" w:rsidRDefault="003532D3" w:rsidP="003532D3">
      <w:pPr>
        <w:widowControl w:val="0"/>
        <w:autoSpaceDE w:val="0"/>
        <w:autoSpaceDN w:val="0"/>
        <w:adjustRightInd w:val="0"/>
        <w:spacing w:after="120" w:line="240" w:lineRule="auto"/>
        <w:contextualSpacing/>
        <w:rPr>
          <w:rFonts w:cs="Calibri"/>
          <w:i/>
          <w:sz w:val="24"/>
          <w:szCs w:val="24"/>
        </w:rPr>
        <w:sectPr w:rsidR="003532D3" w:rsidSect="00C436E4">
          <w:footerReference w:type="default" r:id="rId19"/>
          <w:pgSz w:w="12240" w:h="15840"/>
          <w:pgMar w:top="149" w:right="1440" w:bottom="360" w:left="1440" w:header="720" w:footer="0" w:gutter="0"/>
          <w:pgNumType w:start="0"/>
          <w:cols w:space="720"/>
          <w:titlePg/>
          <w:docGrid w:linePitch="360"/>
        </w:sectPr>
      </w:pPr>
    </w:p>
    <w:p w14:paraId="1B75FB4A" w14:textId="77777777" w:rsidR="003532D3" w:rsidRPr="00962089" w:rsidRDefault="0097469B" w:rsidP="003532D3">
      <w:pPr>
        <w:spacing w:after="0" w:line="240" w:lineRule="auto"/>
        <w:jc w:val="center"/>
        <w:rPr>
          <w:rFonts w:ascii="Times New Roman" w:eastAsia="Times New Roman" w:hAnsi="Times New Roman"/>
          <w:b/>
          <w:bCs/>
          <w:color w:val="365F91"/>
          <w:sz w:val="24"/>
          <w:szCs w:val="24"/>
          <w:u w:val="single"/>
        </w:rPr>
      </w:pPr>
      <w:r w:rsidRPr="00962089">
        <w:rPr>
          <w:rFonts w:ascii="Times New Roman" w:eastAsia="Times New Roman" w:hAnsi="Times New Roman"/>
          <w:b/>
          <w:bCs/>
          <w:color w:val="365F91"/>
          <w:sz w:val="24"/>
          <w:szCs w:val="24"/>
          <w:u w:val="single"/>
        </w:rPr>
        <w:lastRenderedPageBreak/>
        <w:t xml:space="preserve">MODEL COBRA CONTINUATION COVERAGE ELECTION NOTICE </w:t>
      </w:r>
    </w:p>
    <w:p w14:paraId="18361589" w14:textId="77777777" w:rsidR="003532D3" w:rsidRPr="00094533" w:rsidRDefault="0097469B" w:rsidP="003532D3">
      <w:pPr>
        <w:spacing w:after="0" w:line="240" w:lineRule="auto"/>
        <w:jc w:val="center"/>
        <w:rPr>
          <w:rFonts w:ascii="Times New Roman" w:eastAsia="Times New Roman" w:hAnsi="Times New Roman"/>
          <w:b/>
          <w:bCs/>
          <w:sz w:val="24"/>
          <w:szCs w:val="24"/>
        </w:rPr>
      </w:pPr>
      <w:r w:rsidRPr="00094533">
        <w:rPr>
          <w:rFonts w:ascii="Times New Roman" w:eastAsia="Times New Roman" w:hAnsi="Times New Roman"/>
          <w:b/>
          <w:bCs/>
          <w:sz w:val="24"/>
          <w:szCs w:val="24"/>
        </w:rPr>
        <w:t>(For use by single-employer group health plans)</w:t>
      </w:r>
    </w:p>
    <w:p w14:paraId="6DE4DF77" w14:textId="77777777" w:rsidR="003532D3" w:rsidRPr="00094533" w:rsidRDefault="003532D3" w:rsidP="003532D3">
      <w:pPr>
        <w:spacing w:after="0" w:line="240" w:lineRule="auto"/>
        <w:jc w:val="center"/>
        <w:rPr>
          <w:rFonts w:ascii="Times New Roman" w:eastAsia="Times New Roman" w:hAnsi="Times New Roman"/>
          <w:b/>
          <w:bCs/>
          <w:sz w:val="24"/>
          <w:szCs w:val="24"/>
        </w:rPr>
      </w:pPr>
    </w:p>
    <w:p w14:paraId="005DC900" w14:textId="77777777" w:rsidR="003532D3" w:rsidRPr="00962089" w:rsidRDefault="0097469B" w:rsidP="003532D3">
      <w:pPr>
        <w:spacing w:after="120" w:line="240" w:lineRule="auto"/>
        <w:rPr>
          <w:rFonts w:eastAsia="Times New Roman"/>
          <w:b/>
          <w:i/>
          <w:sz w:val="24"/>
          <w:szCs w:val="24"/>
        </w:rPr>
      </w:pPr>
      <w:r w:rsidRPr="00962089">
        <w:rPr>
          <w:rFonts w:eastAsia="Times New Roman"/>
          <w:b/>
          <w:sz w:val="24"/>
          <w:szCs w:val="24"/>
        </w:rPr>
        <w:t xml:space="preserve">IMPORTANT INFORMATION: COBRA Continuation Coverage and other Health Coverage </w:t>
      </w:r>
      <w:r w:rsidRPr="00962089">
        <w:rPr>
          <w:rFonts w:eastAsia="Times New Roman"/>
          <w:b/>
          <w:sz w:val="24"/>
          <w:szCs w:val="24"/>
        </w:rPr>
        <w:t>Alternatives</w:t>
      </w:r>
    </w:p>
    <w:p w14:paraId="28F4C6B7" w14:textId="77777777" w:rsidR="003532D3" w:rsidRPr="00962089" w:rsidRDefault="0097469B" w:rsidP="003532D3">
      <w:pPr>
        <w:spacing w:after="120" w:line="240" w:lineRule="auto"/>
        <w:rPr>
          <w:rFonts w:eastAsia="Times New Roman"/>
          <w:color w:val="FF0000"/>
          <w:sz w:val="24"/>
          <w:szCs w:val="24"/>
        </w:rPr>
      </w:pPr>
      <w:r w:rsidRPr="00962089">
        <w:rPr>
          <w:rFonts w:eastAsia="Times New Roman"/>
          <w:color w:val="FF0000"/>
          <w:sz w:val="24"/>
          <w:szCs w:val="24"/>
        </w:rPr>
        <w:t>[</w:t>
      </w:r>
      <w:r w:rsidRPr="00962089">
        <w:rPr>
          <w:rFonts w:eastAsia="Times New Roman"/>
          <w:i/>
          <w:iCs/>
          <w:color w:val="FF0000"/>
          <w:sz w:val="24"/>
          <w:szCs w:val="24"/>
        </w:rPr>
        <w:t>Enter date of notice</w:t>
      </w:r>
      <w:r w:rsidRPr="00962089">
        <w:rPr>
          <w:rFonts w:eastAsia="Times New Roman"/>
          <w:color w:val="FF0000"/>
          <w:sz w:val="24"/>
          <w:szCs w:val="24"/>
        </w:rPr>
        <w:t>]</w:t>
      </w:r>
    </w:p>
    <w:p w14:paraId="5178196C" w14:textId="77777777" w:rsidR="003532D3" w:rsidRPr="00962089" w:rsidRDefault="0097469B" w:rsidP="003532D3">
      <w:pPr>
        <w:spacing w:after="120" w:line="240" w:lineRule="auto"/>
        <w:rPr>
          <w:rFonts w:eastAsia="Times New Roman"/>
          <w:i/>
          <w:iCs/>
          <w:sz w:val="24"/>
          <w:szCs w:val="24"/>
        </w:rPr>
      </w:pPr>
      <w:r w:rsidRPr="00962089">
        <w:rPr>
          <w:rFonts w:eastAsia="Times New Roman"/>
          <w:sz w:val="24"/>
          <w:szCs w:val="24"/>
        </w:rPr>
        <w:t xml:space="preserve">Dear: </w:t>
      </w:r>
      <w:r w:rsidRPr="00962089">
        <w:rPr>
          <w:rFonts w:eastAsia="Times New Roman"/>
          <w:color w:val="FF0000"/>
          <w:sz w:val="24"/>
          <w:szCs w:val="24"/>
        </w:rPr>
        <w:t>[</w:t>
      </w:r>
      <w:r w:rsidRPr="00962089">
        <w:rPr>
          <w:rFonts w:eastAsia="Times New Roman"/>
          <w:i/>
          <w:iCs/>
          <w:color w:val="FF0000"/>
          <w:sz w:val="24"/>
          <w:szCs w:val="24"/>
        </w:rPr>
        <w:t>Identify the qualified beneficiary(ies), by name or status</w:t>
      </w:r>
      <w:r w:rsidRPr="00962089">
        <w:rPr>
          <w:rFonts w:eastAsia="Times New Roman"/>
          <w:color w:val="FF0000"/>
          <w:sz w:val="24"/>
          <w:szCs w:val="24"/>
        </w:rPr>
        <w:t>]</w:t>
      </w:r>
    </w:p>
    <w:p w14:paraId="07741C47" w14:textId="77777777" w:rsidR="003532D3" w:rsidRPr="00962089" w:rsidRDefault="0097469B" w:rsidP="003532D3">
      <w:pPr>
        <w:spacing w:after="120" w:line="240" w:lineRule="auto"/>
        <w:rPr>
          <w:rFonts w:eastAsia="Times New Roman"/>
          <w:sz w:val="24"/>
          <w:szCs w:val="24"/>
        </w:rPr>
      </w:pPr>
      <w:r w:rsidRPr="00962089">
        <w:rPr>
          <w:rFonts w:eastAsia="Times New Roman"/>
          <w:b/>
          <w:bCs/>
          <w:sz w:val="24"/>
          <w:szCs w:val="24"/>
        </w:rPr>
        <w:t xml:space="preserve">This notice has important information about your right to continue your health care coverage in the </w:t>
      </w:r>
      <w:r w:rsidRPr="00962089">
        <w:rPr>
          <w:rFonts w:eastAsia="Times New Roman"/>
          <w:b/>
          <w:bCs/>
          <w:color w:val="FF0000"/>
          <w:sz w:val="24"/>
          <w:szCs w:val="24"/>
        </w:rPr>
        <w:t>[</w:t>
      </w:r>
      <w:r w:rsidRPr="00962089">
        <w:rPr>
          <w:rFonts w:eastAsia="Times New Roman"/>
          <w:b/>
          <w:bCs/>
          <w:i/>
          <w:iCs/>
          <w:color w:val="FF0000"/>
          <w:sz w:val="24"/>
          <w:szCs w:val="24"/>
        </w:rPr>
        <w:t>enter name of group health plan</w:t>
      </w:r>
      <w:r w:rsidRPr="00962089">
        <w:rPr>
          <w:rFonts w:eastAsia="Times New Roman"/>
          <w:b/>
          <w:bCs/>
          <w:color w:val="FF0000"/>
          <w:sz w:val="24"/>
          <w:szCs w:val="24"/>
        </w:rPr>
        <w:t>]</w:t>
      </w:r>
      <w:r w:rsidRPr="00962089">
        <w:rPr>
          <w:rFonts w:eastAsia="Times New Roman"/>
          <w:b/>
          <w:bCs/>
          <w:sz w:val="24"/>
          <w:szCs w:val="24"/>
        </w:rPr>
        <w:t xml:space="preserve"> (the Plan), as well as other health coverage options that may be available to you, including coverage through the Health Insurance Marketplace at </w:t>
      </w:r>
      <w:hyperlink r:id="rId20" w:history="1">
        <w:r w:rsidRPr="00962089">
          <w:rPr>
            <w:rFonts w:eastAsia="Times New Roman"/>
            <w:b/>
            <w:bCs/>
            <w:color w:val="0000FF"/>
            <w:sz w:val="24"/>
            <w:szCs w:val="24"/>
            <w:u w:val="single"/>
          </w:rPr>
          <w:t>www.HealthCare.gov</w:t>
        </w:r>
      </w:hyperlink>
      <w:r w:rsidRPr="00962089">
        <w:rPr>
          <w:rFonts w:eastAsia="Times New Roman"/>
          <w:bCs/>
          <w:sz w:val="24"/>
          <w:szCs w:val="24"/>
        </w:rPr>
        <w:t xml:space="preserve"> or call</w:t>
      </w:r>
      <w:r w:rsidRPr="00962089">
        <w:rPr>
          <w:rFonts w:eastAsia="Times New Roman"/>
          <w:b/>
          <w:bCs/>
          <w:sz w:val="24"/>
          <w:szCs w:val="24"/>
          <w:u w:val="single"/>
        </w:rPr>
        <w:t xml:space="preserve"> </w:t>
      </w:r>
      <w:r w:rsidRPr="00962089">
        <w:rPr>
          <w:rFonts w:eastAsia="Times New Roman"/>
          <w:sz w:val="24"/>
          <w:szCs w:val="24"/>
        </w:rPr>
        <w:t>1-800-318-2596</w:t>
      </w:r>
      <w:r w:rsidRPr="00962089">
        <w:rPr>
          <w:rFonts w:eastAsia="Times New Roman"/>
          <w:b/>
          <w:bCs/>
          <w:sz w:val="24"/>
          <w:szCs w:val="24"/>
        </w:rPr>
        <w:t xml:space="preserve">.   </w:t>
      </w:r>
      <w:r w:rsidRPr="00962089">
        <w:rPr>
          <w:rFonts w:eastAsia="Times New Roman"/>
          <w:b/>
          <w:iCs/>
          <w:sz w:val="24"/>
          <w:szCs w:val="24"/>
        </w:rPr>
        <w:t>You may be able to get coverage through the Health Insurance Marketplace that costs less than COBRA continuation coverage.</w:t>
      </w:r>
      <w:r w:rsidRPr="00962089">
        <w:rPr>
          <w:rFonts w:eastAsia="Times New Roman"/>
          <w:iCs/>
          <w:sz w:val="24"/>
          <w:szCs w:val="24"/>
        </w:rPr>
        <w:t xml:space="preserve">  </w:t>
      </w:r>
      <w:r w:rsidRPr="00962089">
        <w:rPr>
          <w:rFonts w:eastAsia="Times New Roman"/>
          <w:sz w:val="24"/>
          <w:szCs w:val="24"/>
        </w:rPr>
        <w:t xml:space="preserve">Please read the information in this notice very carefully before you make your decision.  If you choose to elect COBRA continuation coverage, you should use the election form provided later in this notice.  </w:t>
      </w:r>
    </w:p>
    <w:p w14:paraId="0C6D93AE" w14:textId="77777777" w:rsidR="003532D3" w:rsidRPr="00333BFC" w:rsidRDefault="0097469B" w:rsidP="00333BFC">
      <w:pPr>
        <w:rPr>
          <w:b/>
          <w:bCs/>
          <w:sz w:val="24"/>
          <w:szCs w:val="24"/>
        </w:rPr>
      </w:pPr>
      <w:r w:rsidRPr="00333BFC">
        <w:rPr>
          <w:b/>
          <w:bCs/>
          <w:sz w:val="24"/>
          <w:szCs w:val="24"/>
        </w:rPr>
        <w:t>Why am I getting this notice?</w:t>
      </w:r>
    </w:p>
    <w:p w14:paraId="62C7436A"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You’re getting this notice because your coverage under the Plan will end on </w:t>
      </w:r>
      <w:r w:rsidRPr="00962089">
        <w:rPr>
          <w:rFonts w:eastAsia="Times New Roman"/>
          <w:color w:val="FF0000"/>
          <w:sz w:val="24"/>
          <w:szCs w:val="24"/>
        </w:rPr>
        <w:t>[</w:t>
      </w:r>
      <w:r w:rsidRPr="00962089">
        <w:rPr>
          <w:rFonts w:eastAsia="Times New Roman"/>
          <w:i/>
          <w:iCs/>
          <w:color w:val="FF0000"/>
          <w:sz w:val="24"/>
          <w:szCs w:val="24"/>
        </w:rPr>
        <w:t>enter date</w:t>
      </w:r>
      <w:r w:rsidRPr="00962089">
        <w:rPr>
          <w:rFonts w:eastAsia="Times New Roman"/>
          <w:color w:val="FF0000"/>
          <w:sz w:val="24"/>
          <w:szCs w:val="24"/>
        </w:rPr>
        <w:t>]</w:t>
      </w:r>
      <w:r w:rsidRPr="00962089">
        <w:rPr>
          <w:rFonts w:eastAsia="Times New Roman"/>
          <w:b/>
          <w:bCs/>
          <w:sz w:val="24"/>
          <w:szCs w:val="24"/>
        </w:rPr>
        <w:t xml:space="preserve"> </w:t>
      </w:r>
      <w:r w:rsidRPr="00962089">
        <w:rPr>
          <w:rFonts w:eastAsia="Times New Roman"/>
          <w:sz w:val="24"/>
          <w:szCs w:val="24"/>
        </w:rPr>
        <w:t xml:space="preserve">due to </w:t>
      </w:r>
      <w:r w:rsidRPr="00962089">
        <w:rPr>
          <w:rFonts w:eastAsia="Times New Roman"/>
          <w:color w:val="FF0000"/>
          <w:sz w:val="24"/>
          <w:szCs w:val="24"/>
        </w:rPr>
        <w:t>[</w:t>
      </w:r>
      <w:r w:rsidRPr="00962089">
        <w:rPr>
          <w:rFonts w:eastAsia="Times New Roman"/>
          <w:i/>
          <w:iCs/>
          <w:color w:val="FF0000"/>
          <w:sz w:val="24"/>
          <w:szCs w:val="24"/>
        </w:rPr>
        <w:t>check appropriate box</w:t>
      </w:r>
      <w:r w:rsidRPr="00962089">
        <w:rPr>
          <w:rFonts w:eastAsia="Times New Roman"/>
          <w:color w:val="FF0000"/>
          <w:sz w:val="24"/>
          <w:szCs w:val="24"/>
        </w:rPr>
        <w:t>]:</w:t>
      </w:r>
    </w:p>
    <w:p w14:paraId="1172251C"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ab/>
      </w:r>
      <w:r w:rsidRPr="00962089">
        <w:rPr>
          <w:rFonts w:ascii="Wingdings 2" w:eastAsia="Times New Roman" w:hAnsi="Wingdings 2"/>
          <w:sz w:val="24"/>
          <w:szCs w:val="24"/>
        </w:rPr>
        <w:sym w:font="Wingdings 2" w:char="F0A3"/>
      </w:r>
      <w:r w:rsidRPr="00962089">
        <w:rPr>
          <w:rFonts w:eastAsia="Times New Roman"/>
          <w:sz w:val="24"/>
          <w:szCs w:val="24"/>
        </w:rPr>
        <w:t xml:space="preserve"> End of employment</w:t>
      </w:r>
      <w:r w:rsidRPr="00962089">
        <w:rPr>
          <w:rFonts w:eastAsia="Times New Roman"/>
          <w:sz w:val="24"/>
          <w:szCs w:val="24"/>
        </w:rPr>
        <w:tab/>
      </w:r>
      <w:r w:rsidRPr="00962089">
        <w:rPr>
          <w:rFonts w:eastAsia="Times New Roman"/>
          <w:sz w:val="24"/>
          <w:szCs w:val="24"/>
        </w:rPr>
        <w:tab/>
      </w:r>
      <w:r w:rsidRPr="00962089">
        <w:rPr>
          <w:rFonts w:ascii="Wingdings 2" w:eastAsia="Times New Roman" w:hAnsi="Wingdings 2"/>
          <w:sz w:val="24"/>
          <w:szCs w:val="24"/>
        </w:rPr>
        <w:sym w:font="Wingdings 2" w:char="F0A3"/>
      </w:r>
      <w:r w:rsidRPr="00962089">
        <w:rPr>
          <w:rFonts w:eastAsia="Times New Roman"/>
          <w:sz w:val="24"/>
          <w:szCs w:val="24"/>
        </w:rPr>
        <w:t xml:space="preserve"> Reduction in hours of employment</w:t>
      </w:r>
    </w:p>
    <w:p w14:paraId="6306505A"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ab/>
      </w:r>
      <w:r w:rsidRPr="00962089">
        <w:rPr>
          <w:rFonts w:ascii="Wingdings 2" w:eastAsia="Times New Roman" w:hAnsi="Wingdings 2"/>
          <w:sz w:val="24"/>
          <w:szCs w:val="24"/>
        </w:rPr>
        <w:sym w:font="Wingdings 2" w:char="F0A3"/>
      </w:r>
      <w:r w:rsidRPr="00962089">
        <w:rPr>
          <w:rFonts w:eastAsia="Times New Roman"/>
          <w:sz w:val="24"/>
          <w:szCs w:val="24"/>
        </w:rPr>
        <w:t xml:space="preserve"> Death of employee</w:t>
      </w:r>
      <w:r w:rsidRPr="00962089">
        <w:rPr>
          <w:rFonts w:eastAsia="Times New Roman"/>
          <w:sz w:val="24"/>
          <w:szCs w:val="24"/>
        </w:rPr>
        <w:tab/>
      </w:r>
      <w:r w:rsidRPr="00962089">
        <w:rPr>
          <w:rFonts w:eastAsia="Times New Roman"/>
          <w:sz w:val="24"/>
          <w:szCs w:val="24"/>
        </w:rPr>
        <w:tab/>
      </w:r>
      <w:r w:rsidRPr="00962089">
        <w:rPr>
          <w:rFonts w:eastAsia="Times New Roman"/>
          <w:sz w:val="24"/>
          <w:szCs w:val="24"/>
        </w:rPr>
        <w:tab/>
      </w:r>
      <w:r w:rsidRPr="00962089">
        <w:rPr>
          <w:rFonts w:ascii="Wingdings 2" w:eastAsia="Times New Roman" w:hAnsi="Wingdings 2"/>
          <w:sz w:val="24"/>
          <w:szCs w:val="24"/>
        </w:rPr>
        <w:sym w:font="Wingdings 2" w:char="F0A3"/>
      </w:r>
      <w:r w:rsidRPr="00962089">
        <w:rPr>
          <w:rFonts w:eastAsia="Times New Roman"/>
          <w:sz w:val="24"/>
          <w:szCs w:val="24"/>
        </w:rPr>
        <w:t xml:space="preserve"> Divorce or legal separation</w:t>
      </w:r>
    </w:p>
    <w:p w14:paraId="04457AD8"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ab/>
      </w:r>
      <w:r w:rsidRPr="00962089">
        <w:rPr>
          <w:rFonts w:ascii="Wingdings 2" w:eastAsia="Times New Roman" w:hAnsi="Wingdings 2"/>
          <w:sz w:val="24"/>
          <w:szCs w:val="24"/>
        </w:rPr>
        <w:sym w:font="Wingdings 2" w:char="F0A3"/>
      </w:r>
      <w:r w:rsidRPr="00962089">
        <w:rPr>
          <w:rFonts w:eastAsia="Times New Roman"/>
          <w:sz w:val="24"/>
          <w:szCs w:val="24"/>
        </w:rPr>
        <w:t xml:space="preserve"> Entitlement to Medicare</w:t>
      </w:r>
      <w:r w:rsidRPr="00962089">
        <w:rPr>
          <w:rFonts w:eastAsia="Times New Roman"/>
          <w:sz w:val="24"/>
          <w:szCs w:val="24"/>
        </w:rPr>
        <w:tab/>
      </w:r>
      <w:r w:rsidRPr="00962089">
        <w:rPr>
          <w:rFonts w:eastAsia="Times New Roman"/>
          <w:sz w:val="24"/>
          <w:szCs w:val="24"/>
        </w:rPr>
        <w:tab/>
      </w:r>
      <w:r w:rsidRPr="00962089">
        <w:rPr>
          <w:rFonts w:ascii="Wingdings 2" w:eastAsia="Times New Roman" w:hAnsi="Wingdings 2"/>
          <w:sz w:val="24"/>
          <w:szCs w:val="24"/>
        </w:rPr>
        <w:sym w:font="Wingdings 2" w:char="F0A3"/>
      </w:r>
      <w:r w:rsidRPr="00962089">
        <w:rPr>
          <w:rFonts w:eastAsia="Times New Roman"/>
          <w:sz w:val="24"/>
          <w:szCs w:val="24"/>
        </w:rPr>
        <w:t xml:space="preserve"> Loss of dependent child status</w:t>
      </w:r>
    </w:p>
    <w:p w14:paraId="78866464"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Federal law requires that most group health plans (including this Plan) give employees and their families the opportunity to continue their health care coverage through COBRA continuation coverage when there’s a “qualifying event” that would result in a loss of coverage under an employer’s plan.  </w:t>
      </w:r>
    </w:p>
    <w:p w14:paraId="56C64BCF" w14:textId="77777777" w:rsidR="003532D3" w:rsidRPr="00333BFC" w:rsidRDefault="0097469B" w:rsidP="00333BFC">
      <w:pPr>
        <w:rPr>
          <w:rFonts w:eastAsia="Arial Unicode MS"/>
          <w:b/>
          <w:bCs/>
          <w:sz w:val="24"/>
          <w:szCs w:val="24"/>
        </w:rPr>
      </w:pPr>
      <w:r w:rsidRPr="00333BFC">
        <w:rPr>
          <w:b/>
          <w:bCs/>
          <w:sz w:val="24"/>
          <w:szCs w:val="24"/>
        </w:rPr>
        <w:t xml:space="preserve">What’s COBRA continuation coverage? </w:t>
      </w:r>
    </w:p>
    <w:p w14:paraId="10572B3B"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COBRA continuation coverage is the same coverage that the Plan gives to other participants or beneficiaries who aren’t getting continuation coverage.  Each “qualified beneficiary” (described below) who elects COBRA continuation coverage will have the same rights under the Plan as other participants or beneficiaries covered under the Plan.  </w:t>
      </w:r>
    </w:p>
    <w:p w14:paraId="7B22208A" w14:textId="77777777" w:rsidR="003532D3" w:rsidRPr="00962089" w:rsidRDefault="0097469B" w:rsidP="003532D3">
      <w:pPr>
        <w:spacing w:after="120" w:line="240" w:lineRule="auto"/>
        <w:rPr>
          <w:rFonts w:eastAsia="Times New Roman"/>
          <w:b/>
          <w:bCs/>
          <w:sz w:val="24"/>
          <w:szCs w:val="24"/>
        </w:rPr>
      </w:pPr>
      <w:r w:rsidRPr="00962089">
        <w:rPr>
          <w:rFonts w:eastAsia="Times New Roman"/>
          <w:b/>
          <w:bCs/>
          <w:sz w:val="24"/>
          <w:szCs w:val="24"/>
        </w:rPr>
        <w:t>Who are the qualified beneficiaries?</w:t>
      </w:r>
    </w:p>
    <w:p w14:paraId="6747517B"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Each person (“qualified beneficiary”) in the category(ies) checked below can elect COBRA continuation coverage:</w:t>
      </w:r>
    </w:p>
    <w:p w14:paraId="360DC58F" w14:textId="77777777" w:rsidR="003532D3" w:rsidRPr="00962089" w:rsidRDefault="0097469B" w:rsidP="003532D3">
      <w:pPr>
        <w:spacing w:after="120" w:line="240" w:lineRule="auto"/>
        <w:rPr>
          <w:rFonts w:eastAsia="Times New Roman"/>
          <w:sz w:val="24"/>
          <w:szCs w:val="24"/>
        </w:rPr>
      </w:pPr>
      <w:r w:rsidRPr="00962089">
        <w:rPr>
          <w:rFonts w:eastAsia="Times New Roman"/>
          <w:i/>
          <w:iCs/>
          <w:sz w:val="24"/>
          <w:szCs w:val="24"/>
        </w:rPr>
        <w:tab/>
      </w:r>
      <w:r w:rsidRPr="00962089">
        <w:rPr>
          <w:rFonts w:ascii="Wingdings 2" w:eastAsia="Times New Roman" w:hAnsi="Wingdings 2"/>
          <w:sz w:val="24"/>
          <w:szCs w:val="24"/>
        </w:rPr>
        <w:sym w:font="Wingdings 2" w:char="F0A3"/>
      </w:r>
      <w:r w:rsidRPr="00962089">
        <w:rPr>
          <w:rFonts w:eastAsia="Times New Roman"/>
          <w:sz w:val="24"/>
          <w:szCs w:val="24"/>
        </w:rPr>
        <w:t xml:space="preserve"> Employee or former employee </w:t>
      </w:r>
    </w:p>
    <w:p w14:paraId="4960CBAD"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ab/>
      </w:r>
      <w:r w:rsidRPr="00962089">
        <w:rPr>
          <w:rFonts w:ascii="Wingdings 2" w:eastAsia="Times New Roman" w:hAnsi="Wingdings 2"/>
          <w:sz w:val="24"/>
          <w:szCs w:val="24"/>
        </w:rPr>
        <w:sym w:font="Wingdings 2" w:char="F0A3"/>
      </w:r>
      <w:r w:rsidRPr="00962089">
        <w:rPr>
          <w:rFonts w:eastAsia="Times New Roman"/>
          <w:sz w:val="24"/>
          <w:szCs w:val="24"/>
        </w:rPr>
        <w:t xml:space="preserve"> Spouse or former spouse </w:t>
      </w:r>
    </w:p>
    <w:p w14:paraId="217285B0" w14:textId="77777777" w:rsidR="003532D3" w:rsidRPr="00962089" w:rsidRDefault="0097469B" w:rsidP="003532D3">
      <w:pPr>
        <w:spacing w:after="120" w:line="240" w:lineRule="auto"/>
        <w:ind w:left="720"/>
        <w:rPr>
          <w:rFonts w:eastAsia="Times New Roman"/>
          <w:sz w:val="24"/>
          <w:szCs w:val="24"/>
        </w:rPr>
      </w:pPr>
      <w:r w:rsidRPr="00962089">
        <w:rPr>
          <w:rFonts w:ascii="Wingdings 2" w:eastAsia="Times New Roman" w:hAnsi="Wingdings 2"/>
          <w:sz w:val="24"/>
          <w:szCs w:val="24"/>
        </w:rPr>
        <w:sym w:font="Wingdings 2" w:char="F0A3"/>
      </w:r>
      <w:r w:rsidRPr="00962089">
        <w:rPr>
          <w:rFonts w:eastAsia="Times New Roman"/>
          <w:sz w:val="24"/>
          <w:szCs w:val="24"/>
        </w:rPr>
        <w:t xml:space="preserve"> Dependent child(ren) covered under the Plan on the day before the event that caused the loss of coverage </w:t>
      </w:r>
    </w:p>
    <w:p w14:paraId="417F829C" w14:textId="77777777" w:rsidR="003532D3" w:rsidRPr="00962089" w:rsidRDefault="0097469B" w:rsidP="003532D3">
      <w:pPr>
        <w:spacing w:after="120" w:line="240" w:lineRule="auto"/>
        <w:ind w:left="720"/>
        <w:rPr>
          <w:rFonts w:eastAsia="Times New Roman"/>
          <w:sz w:val="24"/>
          <w:szCs w:val="24"/>
        </w:rPr>
      </w:pPr>
      <w:r w:rsidRPr="00962089">
        <w:rPr>
          <w:rFonts w:ascii="Wingdings 2" w:eastAsia="Times New Roman" w:hAnsi="Wingdings 2"/>
          <w:sz w:val="24"/>
          <w:szCs w:val="24"/>
        </w:rPr>
        <w:lastRenderedPageBreak/>
        <w:sym w:font="Wingdings 2" w:char="F0A3"/>
      </w:r>
      <w:r w:rsidRPr="00962089">
        <w:rPr>
          <w:rFonts w:eastAsia="Times New Roman"/>
          <w:sz w:val="24"/>
          <w:szCs w:val="24"/>
        </w:rPr>
        <w:t xml:space="preserve"> Child who is losing coverage under the Plan because he or she is no longer a dependent under the Plan </w:t>
      </w:r>
    </w:p>
    <w:p w14:paraId="53C2740F" w14:textId="77777777" w:rsidR="003532D3" w:rsidRPr="00962089" w:rsidRDefault="0097469B" w:rsidP="003532D3">
      <w:pPr>
        <w:spacing w:after="120" w:line="240" w:lineRule="auto"/>
        <w:rPr>
          <w:rFonts w:eastAsia="Times New Roman"/>
          <w:b/>
          <w:bCs/>
          <w:sz w:val="24"/>
          <w:szCs w:val="24"/>
        </w:rPr>
      </w:pPr>
      <w:r w:rsidRPr="00962089">
        <w:rPr>
          <w:rFonts w:eastAsia="Times New Roman"/>
          <w:b/>
          <w:bCs/>
          <w:sz w:val="24"/>
          <w:szCs w:val="24"/>
        </w:rPr>
        <w:t>Are there other coverage options besides COBRA Continuation Coverage?</w:t>
      </w:r>
    </w:p>
    <w:p w14:paraId="65EB5809"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Yes.  Instead of enrolling in COBRA continuation coverage, there may be other </w:t>
      </w:r>
      <w:r w:rsidRPr="00962089">
        <w:rPr>
          <w:rFonts w:eastAsia="Times New Roman"/>
          <w:sz w:val="24"/>
          <w:szCs w:val="24"/>
        </w:rPr>
        <w:t>more affordable coverage options for you and your family through the Health Insurance Marketplace, Medicaid,</w:t>
      </w:r>
      <w:r w:rsidR="00E8118C">
        <w:rPr>
          <w:rFonts w:eastAsia="Times New Roman"/>
          <w:sz w:val="24"/>
          <w:szCs w:val="24"/>
        </w:rPr>
        <w:t xml:space="preserve"> Medicare,</w:t>
      </w:r>
      <w:r w:rsidRPr="00962089">
        <w:rPr>
          <w:rFonts w:eastAsia="Times New Roman"/>
          <w:sz w:val="24"/>
          <w:szCs w:val="24"/>
        </w:rPr>
        <w:t xml:space="preserve"> or other group health plan coverage options (such as a spouse’s plan) through what is called a “special enrollment period.”  Some of these options may cost less than COBRA continuation coverage.   </w:t>
      </w:r>
    </w:p>
    <w:p w14:paraId="109D4363"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You should compare your other coverage options with COBRA continuation coverage and choose the coverage that is best for you.  For example, if you move to other coverage you may pay more out of pocket than you would under COBRA because the new coverage may impose a new deductible.</w:t>
      </w:r>
    </w:p>
    <w:p w14:paraId="7C2EF8F0"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When you lose job-based health coverage, it’s important that you choose carefully between COBRA continuation coverage and other coverage options, because once you’ve made your choice, it can be difficult or impossible to switch to another coverage option.</w:t>
      </w:r>
    </w:p>
    <w:p w14:paraId="3111166F" w14:textId="77777777" w:rsidR="003532D3" w:rsidRPr="00962089" w:rsidRDefault="0097469B" w:rsidP="003532D3">
      <w:pPr>
        <w:spacing w:after="120" w:line="240" w:lineRule="auto"/>
        <w:rPr>
          <w:rFonts w:eastAsia="Times New Roman"/>
          <w:b/>
          <w:bCs/>
          <w:sz w:val="24"/>
          <w:szCs w:val="24"/>
        </w:rPr>
      </w:pPr>
      <w:r w:rsidRPr="00962089">
        <w:rPr>
          <w:rFonts w:eastAsia="Times New Roman"/>
          <w:b/>
          <w:bCs/>
          <w:sz w:val="24"/>
          <w:szCs w:val="24"/>
        </w:rPr>
        <w:t>If I elect COBRA continuation coverage, when will my coverage begin and how long will the coverage last?</w:t>
      </w:r>
    </w:p>
    <w:p w14:paraId="779674EA" w14:textId="77777777" w:rsidR="003532D3" w:rsidRPr="00962089" w:rsidRDefault="0097469B" w:rsidP="003532D3">
      <w:pPr>
        <w:spacing w:after="120" w:line="240" w:lineRule="auto"/>
        <w:rPr>
          <w:rFonts w:eastAsia="Times New Roman"/>
          <w:i/>
          <w:iCs/>
          <w:sz w:val="24"/>
          <w:szCs w:val="24"/>
        </w:rPr>
      </w:pPr>
      <w:r w:rsidRPr="00962089">
        <w:rPr>
          <w:rFonts w:eastAsia="Times New Roman"/>
          <w:sz w:val="24"/>
          <w:szCs w:val="24"/>
        </w:rPr>
        <w:t xml:space="preserve">If elected, COBRA continuation coverage will begin on </w:t>
      </w:r>
      <w:r w:rsidRPr="00962089">
        <w:rPr>
          <w:rFonts w:eastAsia="Times New Roman"/>
          <w:color w:val="FF0000"/>
          <w:sz w:val="24"/>
          <w:szCs w:val="24"/>
        </w:rPr>
        <w:t>[</w:t>
      </w:r>
      <w:r w:rsidRPr="00962089">
        <w:rPr>
          <w:rFonts w:eastAsia="Times New Roman"/>
          <w:i/>
          <w:iCs/>
          <w:color w:val="FF0000"/>
          <w:sz w:val="24"/>
          <w:szCs w:val="24"/>
        </w:rPr>
        <w:t>enter date</w:t>
      </w:r>
      <w:r w:rsidRPr="00962089">
        <w:rPr>
          <w:rFonts w:eastAsia="Times New Roman"/>
          <w:color w:val="FF0000"/>
          <w:sz w:val="24"/>
          <w:szCs w:val="24"/>
        </w:rPr>
        <w:t>]</w:t>
      </w:r>
      <w:r w:rsidRPr="00962089">
        <w:rPr>
          <w:rFonts w:eastAsia="Times New Roman"/>
          <w:sz w:val="24"/>
          <w:szCs w:val="24"/>
        </w:rPr>
        <w:t xml:space="preserve"> and can last until </w:t>
      </w:r>
      <w:r w:rsidRPr="00962089">
        <w:rPr>
          <w:rFonts w:eastAsia="Times New Roman"/>
          <w:color w:val="FF0000"/>
          <w:sz w:val="24"/>
          <w:szCs w:val="24"/>
        </w:rPr>
        <w:t>[</w:t>
      </w:r>
      <w:r w:rsidRPr="00962089">
        <w:rPr>
          <w:rFonts w:eastAsia="Times New Roman"/>
          <w:i/>
          <w:iCs/>
          <w:color w:val="FF0000"/>
          <w:sz w:val="24"/>
          <w:szCs w:val="24"/>
        </w:rPr>
        <w:t>enter date</w:t>
      </w:r>
      <w:r w:rsidRPr="00962089">
        <w:rPr>
          <w:rFonts w:eastAsia="Times New Roman"/>
          <w:color w:val="FF0000"/>
          <w:sz w:val="24"/>
          <w:szCs w:val="24"/>
        </w:rPr>
        <w:t>]</w:t>
      </w:r>
      <w:r w:rsidRPr="00962089">
        <w:rPr>
          <w:rFonts w:eastAsia="Times New Roman"/>
          <w:i/>
          <w:iCs/>
          <w:sz w:val="24"/>
          <w:szCs w:val="24"/>
        </w:rPr>
        <w:t xml:space="preserve">.  </w:t>
      </w:r>
    </w:p>
    <w:p w14:paraId="621037FB"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w:t>
      </w:r>
      <w:r w:rsidRPr="00962089">
        <w:rPr>
          <w:rFonts w:eastAsia="Times New Roman"/>
          <w:i/>
          <w:iCs/>
          <w:color w:val="FF0000"/>
          <w:sz w:val="24"/>
          <w:szCs w:val="24"/>
        </w:rPr>
        <w:t>Add, if appropriate:</w:t>
      </w:r>
      <w:r w:rsidRPr="00962089">
        <w:rPr>
          <w:rFonts w:eastAsia="Times New Roman"/>
          <w:i/>
          <w:iCs/>
          <w:sz w:val="24"/>
          <w:szCs w:val="24"/>
        </w:rPr>
        <w:t xml:space="preserve">  </w:t>
      </w:r>
      <w:r w:rsidRPr="00962089">
        <w:rPr>
          <w:rFonts w:eastAsia="Times New Roman"/>
          <w:sz w:val="24"/>
          <w:szCs w:val="24"/>
        </w:rPr>
        <w:t xml:space="preserve">You may elect any of the following options for COBRA continuation coverage: </w:t>
      </w:r>
      <w:r w:rsidRPr="00962089">
        <w:rPr>
          <w:rFonts w:eastAsia="Times New Roman"/>
          <w:color w:val="FF0000"/>
          <w:sz w:val="24"/>
          <w:szCs w:val="24"/>
        </w:rPr>
        <w:t>[</w:t>
      </w:r>
      <w:r w:rsidRPr="00962089">
        <w:rPr>
          <w:rFonts w:eastAsia="Times New Roman"/>
          <w:i/>
          <w:iCs/>
          <w:color w:val="FF0000"/>
          <w:sz w:val="24"/>
          <w:szCs w:val="24"/>
        </w:rPr>
        <w:t>list available coverage options</w:t>
      </w:r>
      <w:r w:rsidRPr="00962089">
        <w:rPr>
          <w:rFonts w:eastAsia="Times New Roman"/>
          <w:color w:val="FF0000"/>
          <w:sz w:val="24"/>
          <w:szCs w:val="24"/>
        </w:rPr>
        <w:t>]</w:t>
      </w:r>
      <w:r w:rsidRPr="00962089">
        <w:rPr>
          <w:rFonts w:eastAsia="Times New Roman"/>
          <w:sz w:val="24"/>
          <w:szCs w:val="24"/>
        </w:rPr>
        <w:t xml:space="preserve">.  </w:t>
      </w:r>
    </w:p>
    <w:p w14:paraId="23408582"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Continuation coverage may end before the date noted above in certain circumstances, like failure to pay premiums, fraud, or the individual becomes covered under another group health plan.</w:t>
      </w:r>
    </w:p>
    <w:p w14:paraId="7D4E8039" w14:textId="77777777" w:rsidR="003532D3" w:rsidRPr="00333BFC" w:rsidRDefault="0097469B" w:rsidP="00333BFC">
      <w:pPr>
        <w:rPr>
          <w:rFonts w:eastAsia="Arial Unicode MS"/>
          <w:b/>
          <w:bCs/>
          <w:sz w:val="24"/>
          <w:szCs w:val="24"/>
        </w:rPr>
      </w:pPr>
      <w:r w:rsidRPr="00333BFC">
        <w:rPr>
          <w:b/>
          <w:bCs/>
          <w:sz w:val="24"/>
          <w:szCs w:val="24"/>
        </w:rPr>
        <w:t>Can I extend the length of COBRA continuation coverage?</w:t>
      </w:r>
    </w:p>
    <w:p w14:paraId="479A0D28"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If you elect continuation coverage, you may be able to extend the length of continuation coverage if a qualified beneficiary is disabled, or if a second qualifying event occurs.  You must notify </w:t>
      </w:r>
      <w:r w:rsidRPr="00962089">
        <w:rPr>
          <w:rFonts w:eastAsia="Times New Roman"/>
          <w:color w:val="FF0000"/>
          <w:sz w:val="24"/>
          <w:szCs w:val="24"/>
        </w:rPr>
        <w:t>[</w:t>
      </w:r>
      <w:r w:rsidRPr="00962089">
        <w:rPr>
          <w:rFonts w:eastAsia="Times New Roman"/>
          <w:i/>
          <w:iCs/>
          <w:color w:val="FF0000"/>
          <w:sz w:val="24"/>
          <w:szCs w:val="24"/>
        </w:rPr>
        <w:t>enter name of party responsible for COBRA administration</w:t>
      </w:r>
      <w:r w:rsidRPr="00962089">
        <w:rPr>
          <w:rFonts w:eastAsia="Times New Roman"/>
          <w:color w:val="FF0000"/>
          <w:sz w:val="24"/>
          <w:szCs w:val="24"/>
        </w:rPr>
        <w:t>]</w:t>
      </w:r>
      <w:r w:rsidRPr="00962089">
        <w:rPr>
          <w:rFonts w:eastAsia="Times New Roman"/>
          <w:sz w:val="24"/>
          <w:szCs w:val="24"/>
        </w:rPr>
        <w:t xml:space="preserve"> of a disability or a second qualifying event within a certain time period to extend the period of continuation coverage.  If you don’t provide notice of a disability or second qualifying event within the required time period, it will affect your right to extend the period of continuation coverage.  </w:t>
      </w:r>
    </w:p>
    <w:p w14:paraId="7BF79A82" w14:textId="77777777" w:rsidR="003532D3" w:rsidRPr="00962089" w:rsidRDefault="0097469B" w:rsidP="003532D3">
      <w:pPr>
        <w:spacing w:after="120" w:line="240" w:lineRule="auto"/>
        <w:rPr>
          <w:rFonts w:eastAsia="Times New Roman"/>
          <w:b/>
          <w:bCs/>
          <w:i/>
          <w:iCs/>
          <w:sz w:val="24"/>
          <w:szCs w:val="24"/>
        </w:rPr>
      </w:pPr>
      <w:r w:rsidRPr="00962089">
        <w:rPr>
          <w:rFonts w:eastAsia="Times New Roman"/>
          <w:sz w:val="24"/>
          <w:szCs w:val="24"/>
        </w:rPr>
        <w:t>For more information about extending the length of COBRA continuation coverage</w:t>
      </w:r>
      <w:r>
        <w:rPr>
          <w:rFonts w:eastAsia="Times New Roman"/>
          <w:sz w:val="24"/>
          <w:szCs w:val="24"/>
        </w:rPr>
        <w:t>,</w:t>
      </w:r>
      <w:r w:rsidRPr="00962089">
        <w:rPr>
          <w:rFonts w:eastAsia="Times New Roman"/>
          <w:sz w:val="24"/>
          <w:szCs w:val="24"/>
        </w:rPr>
        <w:t xml:space="preserve"> visit </w:t>
      </w:r>
      <w:hyperlink r:id="rId21" w:history="1">
        <w:r w:rsidRPr="00962089">
          <w:rPr>
            <w:rFonts w:eastAsia="Times New Roman"/>
            <w:color w:val="0000FF"/>
            <w:sz w:val="24"/>
            <w:szCs w:val="24"/>
            <w:u w:val="single"/>
          </w:rPr>
          <w:t>http://www.dol.gov/ebsa/publications/cobraemployee.html</w:t>
        </w:r>
      </w:hyperlink>
      <w:r w:rsidRPr="00962089">
        <w:rPr>
          <w:rFonts w:eastAsia="Times New Roman"/>
          <w:sz w:val="24"/>
          <w:szCs w:val="24"/>
        </w:rPr>
        <w:t>.</w:t>
      </w:r>
    </w:p>
    <w:p w14:paraId="64EF6B67" w14:textId="77777777" w:rsidR="003532D3" w:rsidRPr="00333BFC" w:rsidRDefault="0097469B" w:rsidP="00333BFC">
      <w:pPr>
        <w:rPr>
          <w:rFonts w:eastAsia="Arial Unicode MS"/>
          <w:b/>
          <w:bCs/>
          <w:sz w:val="24"/>
          <w:szCs w:val="24"/>
        </w:rPr>
      </w:pPr>
      <w:bookmarkStart w:id="26" w:name="13"/>
      <w:bookmarkEnd w:id="26"/>
      <w:r w:rsidRPr="00333BFC">
        <w:rPr>
          <w:b/>
          <w:bCs/>
          <w:sz w:val="24"/>
          <w:szCs w:val="24"/>
        </w:rPr>
        <w:t>How much does COBRA continuation coverage cost?</w:t>
      </w:r>
    </w:p>
    <w:p w14:paraId="4FF84A20" w14:textId="77777777" w:rsidR="003532D3" w:rsidRPr="00962089" w:rsidRDefault="0097469B" w:rsidP="003532D3">
      <w:pPr>
        <w:spacing w:after="120" w:line="240" w:lineRule="auto"/>
        <w:rPr>
          <w:rFonts w:eastAsia="Times New Roman"/>
          <w:i/>
          <w:iCs/>
          <w:sz w:val="24"/>
          <w:szCs w:val="24"/>
        </w:rPr>
      </w:pPr>
      <w:r w:rsidRPr="00962089">
        <w:rPr>
          <w:rFonts w:eastAsia="Times New Roman"/>
          <w:sz w:val="24"/>
          <w:szCs w:val="24"/>
        </w:rPr>
        <w:t xml:space="preserve">COBRA continuation coverage will cost: </w:t>
      </w:r>
      <w:r w:rsidRPr="00962089">
        <w:rPr>
          <w:rFonts w:eastAsia="Times New Roman"/>
          <w:color w:val="FF0000"/>
          <w:sz w:val="24"/>
          <w:szCs w:val="24"/>
        </w:rPr>
        <w:t>[</w:t>
      </w:r>
      <w:r w:rsidRPr="00962089">
        <w:rPr>
          <w:rFonts w:eastAsia="Times New Roman"/>
          <w:i/>
          <w:iCs/>
          <w:color w:val="FF0000"/>
          <w:sz w:val="24"/>
          <w:szCs w:val="24"/>
        </w:rPr>
        <w:t>enter amount each qualified beneficiary will be required to pay for each option per month of coverage and any other permitted coverage periods.</w:t>
      </w:r>
      <w:r w:rsidRPr="00962089">
        <w:rPr>
          <w:rFonts w:eastAsia="Times New Roman"/>
          <w:color w:val="FF0000"/>
          <w:sz w:val="24"/>
          <w:szCs w:val="24"/>
        </w:rPr>
        <w:t>]</w:t>
      </w:r>
      <w:r w:rsidRPr="00962089">
        <w:rPr>
          <w:rFonts w:eastAsia="Times New Roman"/>
          <w:i/>
          <w:iCs/>
          <w:sz w:val="24"/>
          <w:szCs w:val="24"/>
        </w:rPr>
        <w:t xml:space="preserve">  </w:t>
      </w:r>
    </w:p>
    <w:p w14:paraId="03408332" w14:textId="77777777" w:rsidR="003532D3" w:rsidRPr="00962089" w:rsidRDefault="0097469B" w:rsidP="003532D3">
      <w:pPr>
        <w:spacing w:after="120" w:line="240" w:lineRule="auto"/>
        <w:rPr>
          <w:rFonts w:eastAsia="Times New Roman"/>
          <w:sz w:val="24"/>
          <w:szCs w:val="24"/>
        </w:rPr>
      </w:pPr>
      <w:r w:rsidRPr="00962089">
        <w:rPr>
          <w:rFonts w:eastAsia="Times New Roman"/>
          <w:iCs/>
          <w:sz w:val="24"/>
          <w:szCs w:val="24"/>
        </w:rPr>
        <w:t>Other coverage options may cost less.  If you choose to elect continuation coverage, y</w:t>
      </w:r>
      <w:r w:rsidRPr="00962089">
        <w:rPr>
          <w:rFonts w:eastAsia="Times New Roman"/>
          <w:sz w:val="24"/>
          <w:szCs w:val="24"/>
        </w:rPr>
        <w:t xml:space="preserve">ou don’t have to send any payment with the Election Form.  Additional information about payment will be </w:t>
      </w:r>
      <w:r w:rsidRPr="00962089">
        <w:rPr>
          <w:rFonts w:eastAsia="Times New Roman"/>
          <w:sz w:val="24"/>
          <w:szCs w:val="24"/>
        </w:rPr>
        <w:lastRenderedPageBreak/>
        <w:t>provided to you after the election form is received by the Plan.  Important information about paying your premium can be found at the end of this notice.</w:t>
      </w:r>
    </w:p>
    <w:p w14:paraId="5CF5D946" w14:textId="77777777" w:rsidR="003532D3" w:rsidRPr="00962089" w:rsidRDefault="0097469B" w:rsidP="003532D3">
      <w:pPr>
        <w:spacing w:after="120" w:line="240" w:lineRule="auto"/>
        <w:rPr>
          <w:rFonts w:eastAsia="Times New Roman"/>
          <w:iCs/>
          <w:sz w:val="24"/>
          <w:szCs w:val="24"/>
        </w:rPr>
      </w:pPr>
      <w:r w:rsidRPr="00962089">
        <w:rPr>
          <w:rFonts w:eastAsia="Times New Roman"/>
          <w:b/>
          <w:iCs/>
          <w:sz w:val="24"/>
          <w:szCs w:val="24"/>
        </w:rPr>
        <w:t>You may be able to get coverage through the Health Insurance Marketplace that costs less than COBRA continuation coverage.</w:t>
      </w:r>
      <w:r w:rsidRPr="00962089">
        <w:rPr>
          <w:rFonts w:eastAsia="Times New Roman"/>
          <w:iCs/>
          <w:sz w:val="24"/>
          <w:szCs w:val="24"/>
        </w:rPr>
        <w:t xml:space="preserve">  You can learn more about the Marketplace below.</w:t>
      </w:r>
    </w:p>
    <w:p w14:paraId="5E9D308A" w14:textId="77777777" w:rsidR="003532D3" w:rsidRPr="00962089" w:rsidRDefault="0097469B" w:rsidP="003532D3">
      <w:pPr>
        <w:spacing w:after="120" w:line="240" w:lineRule="auto"/>
        <w:rPr>
          <w:rFonts w:eastAsia="Times New Roman"/>
          <w:b/>
          <w:bCs/>
          <w:sz w:val="24"/>
          <w:szCs w:val="24"/>
        </w:rPr>
      </w:pPr>
      <w:r w:rsidRPr="00962089">
        <w:rPr>
          <w:rFonts w:eastAsia="Times New Roman"/>
          <w:b/>
          <w:bCs/>
          <w:sz w:val="24"/>
          <w:szCs w:val="24"/>
        </w:rPr>
        <w:t>What is the Health Insurance Marketplace?</w:t>
      </w:r>
    </w:p>
    <w:p w14:paraId="4F5C145E"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The Marketplace offers “one-stop shopping” to find and compare private health insurance options.  In the Marketplace, you could be eligible for a new kind of tax credit that lowers your monthly premiums and cost-sharing reductions (amounts that lower your out-of-pocket costs for deductibles, coinsurance, and copayments) right away, and you can see what your premium, deductibles, and out-of-pocket costs will be before you make a decision to enroll.  Through the Marketplace you’ll also learn if you qualify fo</w:t>
      </w:r>
      <w:r w:rsidRPr="00962089">
        <w:rPr>
          <w:rFonts w:eastAsia="Times New Roman"/>
          <w:sz w:val="24"/>
          <w:szCs w:val="24"/>
        </w:rPr>
        <w:t xml:space="preserve">r free or low-cost coverage from </w:t>
      </w:r>
      <w:hyperlink r:id="rId22" w:history="1">
        <w:r w:rsidRPr="00962089">
          <w:rPr>
            <w:rFonts w:eastAsia="Times New Roman"/>
            <w:color w:val="0000FF"/>
            <w:sz w:val="24"/>
            <w:szCs w:val="24"/>
            <w:u w:val="single"/>
          </w:rPr>
          <w:t>Medicaid</w:t>
        </w:r>
      </w:hyperlink>
      <w:r w:rsidRPr="00962089">
        <w:rPr>
          <w:rFonts w:eastAsia="Times New Roman"/>
          <w:sz w:val="24"/>
          <w:szCs w:val="24"/>
        </w:rPr>
        <w:t xml:space="preserve"> or the </w:t>
      </w:r>
      <w:hyperlink r:id="rId23" w:history="1">
        <w:r w:rsidRPr="00962089">
          <w:rPr>
            <w:rFonts w:eastAsia="Times New Roman"/>
            <w:color w:val="0000FF"/>
            <w:sz w:val="24"/>
            <w:szCs w:val="24"/>
            <w:u w:val="single"/>
          </w:rPr>
          <w:t>Children’s Health Insurance Program (CHIP)</w:t>
        </w:r>
      </w:hyperlink>
      <w:r w:rsidRPr="00962089">
        <w:rPr>
          <w:rFonts w:eastAsia="Times New Roman"/>
          <w:sz w:val="24"/>
          <w:szCs w:val="24"/>
        </w:rPr>
        <w:t xml:space="preserve">.  You can access the Marketplace for your state at </w:t>
      </w:r>
      <w:hyperlink r:id="rId24" w:history="1">
        <w:r w:rsidRPr="00962089">
          <w:rPr>
            <w:rFonts w:eastAsia="Times New Roman"/>
            <w:color w:val="0000FF"/>
            <w:sz w:val="24"/>
            <w:szCs w:val="24"/>
            <w:u w:val="single"/>
          </w:rPr>
          <w:t>www.HealthCare.gov</w:t>
        </w:r>
      </w:hyperlink>
      <w:r w:rsidRPr="00962089">
        <w:rPr>
          <w:rFonts w:eastAsia="Times New Roman"/>
          <w:sz w:val="24"/>
          <w:szCs w:val="24"/>
        </w:rPr>
        <w:t>.</w:t>
      </w:r>
    </w:p>
    <w:p w14:paraId="1A864C1E"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Coverage through the Health Insurance Marketplace may cost less than COBRA continuation coverage.  Being offered COBRA continuation coverage won’t limit your eligibility for coverage or for a tax credit through the Marketplace. </w:t>
      </w:r>
    </w:p>
    <w:p w14:paraId="2D22D8F1" w14:textId="77777777" w:rsidR="003532D3" w:rsidRPr="00962089" w:rsidRDefault="0097469B" w:rsidP="003532D3">
      <w:pPr>
        <w:spacing w:after="120" w:line="240" w:lineRule="auto"/>
        <w:rPr>
          <w:rFonts w:eastAsia="Times New Roman"/>
          <w:b/>
          <w:sz w:val="24"/>
          <w:szCs w:val="24"/>
        </w:rPr>
      </w:pPr>
      <w:r w:rsidRPr="00962089">
        <w:rPr>
          <w:rFonts w:eastAsia="Times New Roman"/>
          <w:b/>
          <w:sz w:val="24"/>
          <w:szCs w:val="24"/>
        </w:rPr>
        <w:t>When can I enroll in Marketplace coverage?</w:t>
      </w:r>
    </w:p>
    <w:p w14:paraId="2CE95850"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You always have 60 days from the time you lose your job-based coverage to enroll in the Marketplace.  That is because losing your job-based health coverage is a “special enrollment” event.  </w:t>
      </w:r>
      <w:r w:rsidRPr="00962089">
        <w:rPr>
          <w:rFonts w:eastAsia="Times New Roman"/>
          <w:b/>
          <w:sz w:val="24"/>
          <w:szCs w:val="24"/>
        </w:rPr>
        <w:t>After 60 days your special enrollment period will end and you may not be able to enroll, so you should take action right away.</w:t>
      </w:r>
      <w:r w:rsidRPr="00962089">
        <w:rPr>
          <w:rFonts w:eastAsia="Times New Roman"/>
          <w:sz w:val="24"/>
          <w:szCs w:val="24"/>
        </w:rPr>
        <w:t xml:space="preserve">  In addition, during what is called an “open enrollment” period, anyone can enroll in Marketplace coverage.  </w:t>
      </w:r>
    </w:p>
    <w:p w14:paraId="0EEDC8D6"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To find out more about enrolling in the Marketplace, such as when the next open enrollment period will be and what you need to know about qualifying events and special enrollment periods, visit </w:t>
      </w:r>
      <w:hyperlink r:id="rId25" w:history="1">
        <w:r w:rsidRPr="00962089">
          <w:rPr>
            <w:rFonts w:eastAsia="Times New Roman"/>
            <w:color w:val="0000FF"/>
            <w:sz w:val="24"/>
            <w:szCs w:val="24"/>
            <w:u w:val="single"/>
          </w:rPr>
          <w:t>www.HealthCare.gov</w:t>
        </w:r>
      </w:hyperlink>
      <w:r w:rsidRPr="00962089">
        <w:rPr>
          <w:rFonts w:eastAsia="Times New Roman"/>
          <w:sz w:val="24"/>
          <w:szCs w:val="24"/>
        </w:rPr>
        <w:t>.</w:t>
      </w:r>
    </w:p>
    <w:p w14:paraId="533E7010" w14:textId="77777777" w:rsidR="003532D3" w:rsidRPr="00962089" w:rsidRDefault="0097469B" w:rsidP="003532D3">
      <w:pPr>
        <w:spacing w:after="120" w:line="240" w:lineRule="auto"/>
        <w:rPr>
          <w:rFonts w:eastAsia="Times New Roman"/>
          <w:b/>
          <w:sz w:val="24"/>
          <w:szCs w:val="24"/>
        </w:rPr>
      </w:pPr>
      <w:r w:rsidRPr="00962089">
        <w:rPr>
          <w:rFonts w:eastAsia="Times New Roman"/>
          <w:b/>
          <w:sz w:val="24"/>
          <w:szCs w:val="24"/>
        </w:rPr>
        <w:t>If I sign up for COBRA continuation coverage, can I switch to coverage in the Marketplace?  What about if I choose Marketplace coverage and want to switch back to COBRA continuation coverage?</w:t>
      </w:r>
    </w:p>
    <w:p w14:paraId="1D5E0A1B"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If you sign up for COBRA continuation coverage, you can switch to a Marketplace plan during a Marketplace open enrollment period.  You can also end your COBRA continuation coverage early and switch to a Marketplace plan if you have another qualifying event such as marriage or birth of a child through something called a “special enrollment period.”  But be careful though - if you terminate your COBRA continuation coverage early without another qualifying event, you’ll have to wait to enroll in Marketplace co</w:t>
      </w:r>
      <w:r w:rsidRPr="00962089">
        <w:rPr>
          <w:rFonts w:eastAsia="Times New Roman"/>
          <w:sz w:val="24"/>
          <w:szCs w:val="24"/>
        </w:rPr>
        <w:t xml:space="preserve">verage until the next open enrollment period, and could end up without any health coverage in the interim.  </w:t>
      </w:r>
    </w:p>
    <w:p w14:paraId="3BB65DB0"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Once you’ve exhausted your COBRA continuation coverage and the coverage expires, you’ll be eligible to enroll in Marketplace coverage through a special enrollment period, even if Marketplace open enrollment has ended. </w:t>
      </w:r>
    </w:p>
    <w:p w14:paraId="5E350566" w14:textId="77777777" w:rsidR="003532D3" w:rsidRPr="00962089" w:rsidRDefault="0097469B" w:rsidP="003532D3">
      <w:pPr>
        <w:spacing w:after="120" w:line="240" w:lineRule="auto"/>
        <w:rPr>
          <w:rFonts w:eastAsia="Times New Roman"/>
          <w:b/>
          <w:sz w:val="24"/>
          <w:szCs w:val="24"/>
        </w:rPr>
      </w:pPr>
      <w:r w:rsidRPr="00962089">
        <w:rPr>
          <w:rFonts w:eastAsia="Times New Roman"/>
          <w:sz w:val="24"/>
          <w:szCs w:val="24"/>
        </w:rPr>
        <w:lastRenderedPageBreak/>
        <w:t xml:space="preserve">If you sign up for Marketplace coverage instead of COBRA continuation coverage, you cannot switch to COBRA continuation coverage under any circumstances.  </w:t>
      </w:r>
    </w:p>
    <w:p w14:paraId="331CF971" w14:textId="77777777" w:rsidR="003532D3" w:rsidRPr="00962089" w:rsidRDefault="0097469B" w:rsidP="003532D3">
      <w:pPr>
        <w:spacing w:after="120" w:line="240" w:lineRule="auto"/>
        <w:rPr>
          <w:rFonts w:eastAsia="Times New Roman"/>
          <w:b/>
          <w:sz w:val="24"/>
          <w:szCs w:val="24"/>
        </w:rPr>
      </w:pPr>
      <w:r w:rsidRPr="00962089">
        <w:rPr>
          <w:rFonts w:eastAsia="Times New Roman"/>
          <w:b/>
          <w:sz w:val="24"/>
          <w:szCs w:val="24"/>
        </w:rPr>
        <w:t>Can I enroll in another group health plan?</w:t>
      </w:r>
    </w:p>
    <w:p w14:paraId="799A204A"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You may be eligible to enroll in coverage under another group health plan (like a spouse’s plan), if you request enrollment within 30 days of the loss of coverage.  </w:t>
      </w:r>
    </w:p>
    <w:p w14:paraId="28D5B896" w14:textId="77777777" w:rsidR="003532D3" w:rsidRDefault="0097469B" w:rsidP="003532D3">
      <w:pPr>
        <w:spacing w:after="120" w:line="240" w:lineRule="auto"/>
        <w:rPr>
          <w:rFonts w:eastAsia="Times New Roman"/>
          <w:sz w:val="24"/>
          <w:szCs w:val="24"/>
        </w:rPr>
      </w:pPr>
      <w:r w:rsidRPr="00962089">
        <w:rPr>
          <w:rFonts w:eastAsia="Times New Roman"/>
          <w:sz w:val="24"/>
          <w:szCs w:val="24"/>
        </w:rPr>
        <w:t xml:space="preserve">If you or your dependent chooses to elect COBRA continuation coverage instead of enrolling in another group health plan for which you’re eligible, you’ll have another opportunity to enroll in the other group health plan within 30 days of losing your COBRA continuation coverage. </w:t>
      </w:r>
    </w:p>
    <w:p w14:paraId="2A171627" w14:textId="77777777" w:rsidR="00E8118C" w:rsidRPr="00962089" w:rsidRDefault="0097469B" w:rsidP="00E8118C">
      <w:pPr>
        <w:spacing w:after="120" w:line="240" w:lineRule="auto"/>
        <w:rPr>
          <w:rFonts w:eastAsia="Times New Roman"/>
          <w:b/>
          <w:bCs/>
          <w:sz w:val="24"/>
          <w:szCs w:val="24"/>
        </w:rPr>
      </w:pPr>
      <w:r>
        <w:rPr>
          <w:rFonts w:eastAsia="Times New Roman"/>
          <w:b/>
          <w:bCs/>
          <w:sz w:val="24"/>
          <w:szCs w:val="24"/>
        </w:rPr>
        <w:t>Can I enroll in Medicare instead of</w:t>
      </w:r>
      <w:r w:rsidRPr="00962089">
        <w:rPr>
          <w:rFonts w:eastAsia="Times New Roman"/>
          <w:b/>
          <w:bCs/>
          <w:sz w:val="24"/>
          <w:szCs w:val="24"/>
        </w:rPr>
        <w:t xml:space="preserve"> COBRA </w:t>
      </w:r>
      <w:r>
        <w:rPr>
          <w:rFonts w:eastAsia="Times New Roman"/>
          <w:b/>
          <w:bCs/>
          <w:sz w:val="24"/>
          <w:szCs w:val="24"/>
        </w:rPr>
        <w:t>c</w:t>
      </w:r>
      <w:r w:rsidRPr="00962089">
        <w:rPr>
          <w:rFonts w:eastAsia="Times New Roman"/>
          <w:b/>
          <w:bCs/>
          <w:sz w:val="24"/>
          <w:szCs w:val="24"/>
        </w:rPr>
        <w:t xml:space="preserve">ontinuation </w:t>
      </w:r>
      <w:r>
        <w:rPr>
          <w:rFonts w:eastAsia="Times New Roman"/>
          <w:b/>
          <w:bCs/>
          <w:sz w:val="24"/>
          <w:szCs w:val="24"/>
        </w:rPr>
        <w:t>c</w:t>
      </w:r>
      <w:r w:rsidRPr="00962089">
        <w:rPr>
          <w:rFonts w:eastAsia="Times New Roman"/>
          <w:b/>
          <w:bCs/>
          <w:sz w:val="24"/>
          <w:szCs w:val="24"/>
        </w:rPr>
        <w:t>overage</w:t>
      </w:r>
      <w:r>
        <w:rPr>
          <w:rFonts w:eastAsia="Times New Roman"/>
          <w:b/>
          <w:bCs/>
          <w:sz w:val="24"/>
          <w:szCs w:val="24"/>
        </w:rPr>
        <w:t xml:space="preserve"> after my group health plan coverage ends</w:t>
      </w:r>
      <w:r w:rsidRPr="00962089">
        <w:rPr>
          <w:rFonts w:eastAsia="Times New Roman"/>
          <w:b/>
          <w:bCs/>
          <w:sz w:val="24"/>
          <w:szCs w:val="24"/>
        </w:rPr>
        <w:t>?</w:t>
      </w:r>
    </w:p>
    <w:p w14:paraId="52B9B0D5" w14:textId="77777777" w:rsidR="00E8118C" w:rsidRPr="001E5350" w:rsidRDefault="0097469B" w:rsidP="00E8118C">
      <w:pPr>
        <w:spacing w:after="120" w:line="240" w:lineRule="auto"/>
        <w:rPr>
          <w:rFonts w:eastAsia="Times New Roman"/>
          <w:sz w:val="24"/>
          <w:szCs w:val="24"/>
        </w:rPr>
      </w:pPr>
      <w:r w:rsidRPr="001E5350">
        <w:rPr>
          <w:rFonts w:eastAsia="Times New Roman"/>
          <w:sz w:val="24"/>
          <w:szCs w:val="24"/>
        </w:rPr>
        <w:t>In general, if you don’t enroll in Medicare Part A or B when you are first eligible because you are still employed, after the Medicare initial enrollment period, you have an 8-month special enrollment period to sign up for Medicare Part A or B, beginning on the earlier of</w:t>
      </w:r>
      <w:r>
        <w:rPr>
          <w:rFonts w:eastAsia="Times New Roman"/>
          <w:sz w:val="24"/>
          <w:szCs w:val="24"/>
        </w:rPr>
        <w:t>:</w:t>
      </w:r>
    </w:p>
    <w:p w14:paraId="38C1ACFA" w14:textId="77777777" w:rsidR="00E8118C" w:rsidRDefault="0097469B" w:rsidP="00E8118C">
      <w:pPr>
        <w:pStyle w:val="ListParagraph"/>
        <w:numPr>
          <w:ilvl w:val="0"/>
          <w:numId w:val="35"/>
        </w:numPr>
        <w:spacing w:after="120" w:line="240" w:lineRule="auto"/>
        <w:rPr>
          <w:rFonts w:eastAsia="Times New Roman"/>
          <w:sz w:val="24"/>
          <w:szCs w:val="24"/>
        </w:rPr>
      </w:pPr>
      <w:r w:rsidRPr="001E5350">
        <w:rPr>
          <w:rFonts w:eastAsia="Times New Roman"/>
          <w:sz w:val="24"/>
          <w:szCs w:val="24"/>
        </w:rPr>
        <w:t>The month after your employment ends; or</w:t>
      </w:r>
    </w:p>
    <w:p w14:paraId="7915C53D" w14:textId="77777777" w:rsidR="00E8118C" w:rsidRPr="001E5350" w:rsidRDefault="0097469B" w:rsidP="00E8118C">
      <w:pPr>
        <w:pStyle w:val="ListParagraph"/>
        <w:numPr>
          <w:ilvl w:val="0"/>
          <w:numId w:val="35"/>
        </w:numPr>
        <w:spacing w:after="120" w:line="240" w:lineRule="auto"/>
        <w:rPr>
          <w:rFonts w:eastAsia="Times New Roman"/>
          <w:sz w:val="24"/>
          <w:szCs w:val="24"/>
        </w:rPr>
      </w:pPr>
      <w:r w:rsidRPr="001E5350">
        <w:rPr>
          <w:rFonts w:eastAsia="Times New Roman"/>
          <w:sz w:val="24"/>
          <w:szCs w:val="24"/>
        </w:rPr>
        <w:t>The month after group health plan coverage based on current employment ends.</w:t>
      </w:r>
    </w:p>
    <w:p w14:paraId="533CADDE" w14:textId="77777777" w:rsidR="00E8118C" w:rsidRPr="001E5350" w:rsidRDefault="0097469B" w:rsidP="00E8118C">
      <w:pPr>
        <w:spacing w:after="120" w:line="240" w:lineRule="auto"/>
        <w:rPr>
          <w:rFonts w:eastAsia="Times New Roman"/>
          <w:sz w:val="24"/>
          <w:szCs w:val="24"/>
        </w:rPr>
      </w:pPr>
      <w:r w:rsidRPr="001E5350">
        <w:rPr>
          <w:rFonts w:eastAsia="Times New Roman"/>
          <w:sz w:val="24"/>
          <w:szCs w:val="24"/>
        </w:rPr>
        <w:t xml:space="preserve">If you don’t enroll in Medicare and elect COBRA continuation coverage </w:t>
      </w:r>
      <w:r w:rsidRPr="001E5350">
        <w:rPr>
          <w:rFonts w:eastAsia="Times New Roman"/>
          <w:sz w:val="24"/>
          <w:szCs w:val="24"/>
        </w:rPr>
        <w:t xml:space="preserve">instead, you may have to pay a Part B late enrollment penalty and you may have a gap in coverage if you decide you want Part B later.  If you elect COBRA continuation coverage and later enroll in Medicare Part A or B before the COBRA continuation coverage ends, the Plan may terminate your continuation coverage.  However, if Medicare Part A or B is effective on or before the date of the COBRA election, COBRA coverage may not be discontinued on account of Medicare entitlement, even if you enroll in the other </w:t>
      </w:r>
      <w:r w:rsidRPr="001E5350">
        <w:rPr>
          <w:rFonts w:eastAsia="Times New Roman"/>
          <w:sz w:val="24"/>
          <w:szCs w:val="24"/>
        </w:rPr>
        <w:t>part of Medicare after the date of the election of COBRA coverage.</w:t>
      </w:r>
    </w:p>
    <w:p w14:paraId="59E70F77" w14:textId="77777777" w:rsidR="00E8118C" w:rsidRPr="001E5350" w:rsidRDefault="0097469B" w:rsidP="00E8118C">
      <w:pPr>
        <w:spacing w:after="120" w:line="240" w:lineRule="auto"/>
        <w:rPr>
          <w:rFonts w:eastAsia="Times New Roman"/>
          <w:sz w:val="24"/>
          <w:szCs w:val="24"/>
        </w:rPr>
      </w:pPr>
      <w:r w:rsidRPr="001E5350">
        <w:rPr>
          <w:rFonts w:eastAsia="Times New Roman"/>
          <w:sz w:val="24"/>
          <w:szCs w:val="24"/>
        </w:rPr>
        <w:t>If you are enrolled in both COBRA continuation coverage and Medicare, Medicare will generally pay first (primary payer) and COBRA continuation coverage will pay second.  Certain plans may pay as if secondary to Medicare, even if you are not enrolled in Medicare.</w:t>
      </w:r>
    </w:p>
    <w:p w14:paraId="10491EB3" w14:textId="77777777" w:rsidR="00E8118C" w:rsidRPr="00962089" w:rsidRDefault="0097469B" w:rsidP="003532D3">
      <w:pPr>
        <w:spacing w:after="120" w:line="240" w:lineRule="auto"/>
        <w:rPr>
          <w:rFonts w:eastAsia="Times New Roman"/>
          <w:sz w:val="24"/>
          <w:szCs w:val="24"/>
        </w:rPr>
      </w:pPr>
      <w:r w:rsidRPr="001E5350">
        <w:rPr>
          <w:rFonts w:eastAsia="Times New Roman"/>
          <w:sz w:val="24"/>
          <w:szCs w:val="24"/>
        </w:rPr>
        <w:t xml:space="preserve">For more information visit </w:t>
      </w:r>
      <w:hyperlink r:id="rId26" w:history="1">
        <w:r w:rsidRPr="009E413E">
          <w:rPr>
            <w:rStyle w:val="Hyperlink"/>
            <w:rFonts w:eastAsia="Times New Roman"/>
            <w:sz w:val="24"/>
            <w:szCs w:val="24"/>
          </w:rPr>
          <w:t>https://www.medicare.gov/medicare-and-you</w:t>
        </w:r>
      </w:hyperlink>
      <w:r w:rsidRPr="001E5350">
        <w:rPr>
          <w:rFonts w:eastAsia="Times New Roman"/>
          <w:sz w:val="24"/>
          <w:szCs w:val="24"/>
        </w:rPr>
        <w:t>.</w:t>
      </w:r>
    </w:p>
    <w:p w14:paraId="602B8407" w14:textId="77777777" w:rsidR="003532D3" w:rsidRPr="00962089" w:rsidRDefault="0097469B" w:rsidP="003532D3">
      <w:pPr>
        <w:spacing w:after="120" w:line="240" w:lineRule="auto"/>
        <w:rPr>
          <w:rFonts w:eastAsia="Times New Roman"/>
          <w:b/>
          <w:sz w:val="24"/>
          <w:szCs w:val="24"/>
        </w:rPr>
      </w:pPr>
      <w:r w:rsidRPr="00962089">
        <w:rPr>
          <w:rFonts w:eastAsia="Times New Roman"/>
          <w:b/>
          <w:sz w:val="24"/>
          <w:szCs w:val="24"/>
        </w:rPr>
        <w:t>What factors should I consider when choosing coverage options?</w:t>
      </w:r>
    </w:p>
    <w:p w14:paraId="0074F9EE"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When considering your options for health coverage, you may want to think about:</w:t>
      </w:r>
    </w:p>
    <w:p w14:paraId="22A4DCD4" w14:textId="77777777" w:rsidR="003532D3" w:rsidRPr="00962089" w:rsidRDefault="0097469B" w:rsidP="003532D3">
      <w:pPr>
        <w:numPr>
          <w:ilvl w:val="0"/>
          <w:numId w:val="34"/>
        </w:numPr>
        <w:spacing w:after="120" w:line="240" w:lineRule="auto"/>
        <w:rPr>
          <w:rFonts w:eastAsia="Times New Roman"/>
          <w:sz w:val="24"/>
          <w:szCs w:val="24"/>
        </w:rPr>
      </w:pPr>
      <w:r w:rsidRPr="00962089">
        <w:rPr>
          <w:rFonts w:eastAsia="Times New Roman"/>
          <w:sz w:val="24"/>
          <w:szCs w:val="24"/>
          <w:u w:val="single"/>
        </w:rPr>
        <w:t>Premiums</w:t>
      </w:r>
      <w:r w:rsidRPr="00962089">
        <w:rPr>
          <w:rFonts w:eastAsia="Times New Roman"/>
          <w:sz w:val="24"/>
          <w:szCs w:val="24"/>
        </w:rPr>
        <w:t xml:space="preserve">: Your previous plan can charge up to 102% of total plan premiums for COBRA coverage.  Other options, like coverage on a spouse’s plan or through the Marketplace, may be less expensive.  </w:t>
      </w:r>
    </w:p>
    <w:p w14:paraId="29B881CB" w14:textId="77777777" w:rsidR="003532D3" w:rsidRPr="00962089" w:rsidRDefault="0097469B" w:rsidP="003532D3">
      <w:pPr>
        <w:numPr>
          <w:ilvl w:val="0"/>
          <w:numId w:val="34"/>
        </w:numPr>
        <w:spacing w:after="120" w:line="240" w:lineRule="auto"/>
        <w:rPr>
          <w:rFonts w:eastAsia="Times New Roman"/>
          <w:sz w:val="24"/>
          <w:szCs w:val="24"/>
        </w:rPr>
      </w:pPr>
      <w:r w:rsidRPr="00962089">
        <w:rPr>
          <w:rFonts w:eastAsia="Times New Roman"/>
          <w:sz w:val="24"/>
          <w:szCs w:val="24"/>
          <w:u w:val="single"/>
        </w:rPr>
        <w:t>Provider Networks</w:t>
      </w:r>
      <w:r w:rsidRPr="00962089">
        <w:rPr>
          <w:rFonts w:eastAsia="Times New Roman"/>
          <w:sz w:val="24"/>
          <w:szCs w:val="24"/>
        </w:rPr>
        <w:t>: If you’re currently getting care or treatment for a condition, a change in your health coverage may affect your access to a particular health care provider.  You may want to check to see if your current health care providers participate in a network as you consider options for health coverage.</w:t>
      </w:r>
    </w:p>
    <w:p w14:paraId="26580062" w14:textId="77777777" w:rsidR="003532D3" w:rsidRPr="00962089" w:rsidRDefault="0097469B" w:rsidP="003532D3">
      <w:pPr>
        <w:numPr>
          <w:ilvl w:val="0"/>
          <w:numId w:val="34"/>
        </w:numPr>
        <w:spacing w:after="120" w:line="240" w:lineRule="auto"/>
        <w:rPr>
          <w:rFonts w:eastAsia="Times New Roman"/>
          <w:sz w:val="24"/>
          <w:szCs w:val="24"/>
        </w:rPr>
      </w:pPr>
      <w:r w:rsidRPr="00962089">
        <w:rPr>
          <w:rFonts w:eastAsia="Times New Roman"/>
          <w:sz w:val="24"/>
          <w:szCs w:val="24"/>
          <w:u w:val="single"/>
        </w:rPr>
        <w:t>Drug Formularies</w:t>
      </w:r>
      <w:r w:rsidRPr="00962089">
        <w:rPr>
          <w:rFonts w:eastAsia="Times New Roman"/>
          <w:sz w:val="24"/>
          <w:szCs w:val="24"/>
        </w:rPr>
        <w:t xml:space="preserve">: If you’re currently taking medication, a change in your health coverage may affect your costs for medication – and in some cases, your medication may not be </w:t>
      </w:r>
      <w:r w:rsidRPr="00962089">
        <w:rPr>
          <w:rFonts w:eastAsia="Times New Roman"/>
          <w:sz w:val="24"/>
          <w:szCs w:val="24"/>
        </w:rPr>
        <w:lastRenderedPageBreak/>
        <w:t>covered by another plan.  You may want to check to see if your current medications are listed in drug formularies for other health coverage.</w:t>
      </w:r>
    </w:p>
    <w:p w14:paraId="19137134" w14:textId="77777777" w:rsidR="003532D3" w:rsidRPr="00962089" w:rsidRDefault="0097469B" w:rsidP="003532D3">
      <w:pPr>
        <w:numPr>
          <w:ilvl w:val="0"/>
          <w:numId w:val="34"/>
        </w:numPr>
        <w:spacing w:after="120" w:line="240" w:lineRule="auto"/>
        <w:rPr>
          <w:rFonts w:eastAsia="Times New Roman"/>
          <w:sz w:val="24"/>
          <w:szCs w:val="24"/>
        </w:rPr>
      </w:pPr>
      <w:r w:rsidRPr="00962089">
        <w:rPr>
          <w:rFonts w:eastAsia="Times New Roman"/>
          <w:sz w:val="24"/>
          <w:szCs w:val="24"/>
          <w:u w:val="single"/>
        </w:rPr>
        <w:t>Severance payments</w:t>
      </w:r>
      <w:r w:rsidRPr="00962089">
        <w:rPr>
          <w:rFonts w:eastAsia="Times New Roman"/>
          <w:sz w:val="24"/>
          <w:szCs w:val="24"/>
        </w:rPr>
        <w:t>:  If you lost your job and got a severance package from your former employer, your former employer may have offered to pay some or all of your COBRA payments for a period of time.  In this scenario, you may want to contact the Department of Labor at 1-866-444-3272 to discuss your options.</w:t>
      </w:r>
    </w:p>
    <w:p w14:paraId="19EA9F90" w14:textId="77777777" w:rsidR="003532D3" w:rsidRPr="00962089" w:rsidRDefault="0097469B" w:rsidP="003532D3">
      <w:pPr>
        <w:numPr>
          <w:ilvl w:val="0"/>
          <w:numId w:val="34"/>
        </w:numPr>
        <w:spacing w:after="120" w:line="240" w:lineRule="auto"/>
        <w:rPr>
          <w:rFonts w:eastAsia="Times New Roman"/>
          <w:sz w:val="24"/>
          <w:szCs w:val="24"/>
        </w:rPr>
      </w:pPr>
      <w:r w:rsidRPr="00962089">
        <w:rPr>
          <w:rFonts w:eastAsia="Times New Roman"/>
          <w:sz w:val="24"/>
          <w:szCs w:val="24"/>
          <w:u w:val="single"/>
        </w:rPr>
        <w:t>Service Areas</w:t>
      </w:r>
      <w:r w:rsidRPr="00962089">
        <w:rPr>
          <w:rFonts w:eastAsia="Times New Roman"/>
          <w:sz w:val="24"/>
          <w:szCs w:val="24"/>
        </w:rPr>
        <w:t>: Some plans limit their benefits to specific service or coverage areas – so if you move to another area of the country, you may not be able to use your benefits.  You may want to see if your plan has a service or coverage area, or other similar limitations.</w:t>
      </w:r>
    </w:p>
    <w:p w14:paraId="58F813F7" w14:textId="77777777" w:rsidR="003532D3" w:rsidRPr="00962089" w:rsidRDefault="0097469B" w:rsidP="003532D3">
      <w:pPr>
        <w:numPr>
          <w:ilvl w:val="0"/>
          <w:numId w:val="34"/>
        </w:numPr>
        <w:spacing w:after="120" w:line="240" w:lineRule="auto"/>
        <w:rPr>
          <w:rFonts w:eastAsia="Times New Roman"/>
          <w:sz w:val="24"/>
          <w:szCs w:val="24"/>
        </w:rPr>
      </w:pPr>
      <w:r w:rsidRPr="00962089">
        <w:rPr>
          <w:rFonts w:eastAsia="Times New Roman"/>
          <w:sz w:val="24"/>
          <w:szCs w:val="24"/>
          <w:u w:val="single"/>
        </w:rPr>
        <w:t>Other Cost-Sharing</w:t>
      </w:r>
      <w:r w:rsidRPr="00962089">
        <w:rPr>
          <w:rFonts w:eastAsia="Times New Roman"/>
          <w:sz w:val="24"/>
          <w:szCs w:val="24"/>
        </w:rPr>
        <w:t>: In addition to premiums or contributions for health coverage, you probably pay copayments, deductibles, coinsurance, or other amounts as you use your benefits.  You may want to check to see what the cost-sharing requirements are for other health coverage options.  For example, one option may have much lower monthly premiums, but a much higher deductible and higher copayments.</w:t>
      </w:r>
    </w:p>
    <w:p w14:paraId="4022D936" w14:textId="77777777" w:rsidR="003532D3" w:rsidRPr="00333BFC" w:rsidRDefault="0097469B" w:rsidP="00333BFC">
      <w:pPr>
        <w:rPr>
          <w:rFonts w:eastAsia="Arial Unicode MS"/>
          <w:b/>
          <w:bCs/>
          <w:sz w:val="24"/>
          <w:szCs w:val="24"/>
        </w:rPr>
      </w:pPr>
      <w:r w:rsidRPr="00333BFC">
        <w:rPr>
          <w:b/>
          <w:bCs/>
          <w:sz w:val="24"/>
          <w:szCs w:val="24"/>
        </w:rPr>
        <w:t>For more information</w:t>
      </w:r>
    </w:p>
    <w:p w14:paraId="13F3D31F"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This notice doesn’t fully describe continuation coverage or other rights under the Plan.  More information about continuation coverage and your rights under the Plan is available in your summary plan description</w:t>
      </w:r>
      <w:r w:rsidRPr="00962089">
        <w:rPr>
          <w:rFonts w:eastAsia="Times New Roman"/>
          <w:i/>
          <w:iCs/>
          <w:sz w:val="24"/>
          <w:szCs w:val="24"/>
        </w:rPr>
        <w:t xml:space="preserve"> </w:t>
      </w:r>
      <w:r w:rsidRPr="00962089">
        <w:rPr>
          <w:rFonts w:eastAsia="Times New Roman"/>
          <w:sz w:val="24"/>
          <w:szCs w:val="24"/>
        </w:rPr>
        <w:t xml:space="preserve">or from the Plan Administrator.  </w:t>
      </w:r>
    </w:p>
    <w:p w14:paraId="0BF71253" w14:textId="77777777" w:rsidR="003532D3" w:rsidRPr="00962089" w:rsidRDefault="0097469B" w:rsidP="003532D3">
      <w:pPr>
        <w:tabs>
          <w:tab w:val="left" w:pos="720"/>
          <w:tab w:val="center" w:pos="4680"/>
          <w:tab w:val="right" w:pos="9360"/>
        </w:tabs>
        <w:spacing w:after="120" w:line="240" w:lineRule="auto"/>
        <w:rPr>
          <w:rFonts w:eastAsia="Times New Roman"/>
          <w:sz w:val="24"/>
          <w:szCs w:val="24"/>
        </w:rPr>
      </w:pPr>
      <w:r w:rsidRPr="00962089">
        <w:rPr>
          <w:rFonts w:eastAsia="Times New Roman"/>
          <w:sz w:val="24"/>
          <w:szCs w:val="24"/>
        </w:rPr>
        <w:t xml:space="preserve">If you have questions about the information in this notice, your rights to coverage, or if you want a copy of your summary plan description, contact </w:t>
      </w:r>
      <w:r w:rsidRPr="00962089">
        <w:rPr>
          <w:rFonts w:eastAsia="Times New Roman"/>
          <w:color w:val="FF0000"/>
          <w:sz w:val="24"/>
          <w:szCs w:val="24"/>
        </w:rPr>
        <w:t>[</w:t>
      </w:r>
      <w:r w:rsidRPr="00962089">
        <w:rPr>
          <w:rFonts w:eastAsia="Times New Roman"/>
          <w:i/>
          <w:iCs/>
          <w:color w:val="FF0000"/>
          <w:sz w:val="24"/>
          <w:szCs w:val="24"/>
        </w:rPr>
        <w:t>enter name of party responsible for COBRA administration for the Plan, with telephone number and address</w:t>
      </w:r>
      <w:r w:rsidRPr="00962089">
        <w:rPr>
          <w:rFonts w:eastAsia="Times New Roman"/>
          <w:color w:val="FF0000"/>
          <w:sz w:val="24"/>
          <w:szCs w:val="24"/>
        </w:rPr>
        <w:t>]</w:t>
      </w:r>
      <w:r w:rsidRPr="00962089">
        <w:rPr>
          <w:rFonts w:eastAsia="Times New Roman"/>
          <w:sz w:val="24"/>
          <w:szCs w:val="24"/>
        </w:rPr>
        <w:t>.</w:t>
      </w:r>
    </w:p>
    <w:p w14:paraId="2086A743"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For more information about your rights under the Employee Retirement Income Security Act (ERISA), including COBRA, the Patient Protection and Affordable Care Act, and other laws affecting group health plans, visit the U.S. Department of Labor’s Employee Benefits Security Administration (EBSA) website at </w:t>
      </w:r>
      <w:hyperlink r:id="rId27" w:history="1">
        <w:r w:rsidRPr="00962089">
          <w:rPr>
            <w:rFonts w:eastAsia="Times New Roman"/>
            <w:color w:val="0000FF"/>
            <w:sz w:val="24"/>
            <w:szCs w:val="24"/>
            <w:u w:val="single"/>
          </w:rPr>
          <w:t>www.dol.gov/ebsa</w:t>
        </w:r>
      </w:hyperlink>
      <w:r w:rsidRPr="00962089">
        <w:rPr>
          <w:rFonts w:eastAsia="Times New Roman"/>
          <w:sz w:val="24"/>
          <w:szCs w:val="24"/>
        </w:rPr>
        <w:t xml:space="preserve"> or call their toll-free number at 1-866-444-3272.  For more information about health insurance options available through the Health Insurance Marketplace, and to locate an assister in your area who you can talk to about the different options, visit </w:t>
      </w:r>
      <w:hyperlink r:id="rId28" w:history="1">
        <w:r w:rsidRPr="00962089">
          <w:rPr>
            <w:rFonts w:eastAsia="Times New Roman"/>
            <w:color w:val="0000FF"/>
            <w:sz w:val="24"/>
            <w:szCs w:val="24"/>
            <w:u w:val="single"/>
          </w:rPr>
          <w:t>www.HealthCare.gov</w:t>
        </w:r>
      </w:hyperlink>
      <w:r w:rsidRPr="00962089">
        <w:rPr>
          <w:rFonts w:eastAsia="Times New Roman"/>
          <w:sz w:val="24"/>
          <w:szCs w:val="24"/>
        </w:rPr>
        <w:t>.</w:t>
      </w:r>
    </w:p>
    <w:p w14:paraId="68CB7627" w14:textId="77777777" w:rsidR="003532D3" w:rsidRPr="00962089" w:rsidRDefault="0097469B" w:rsidP="003532D3">
      <w:pPr>
        <w:spacing w:after="120" w:line="240" w:lineRule="auto"/>
        <w:rPr>
          <w:rFonts w:eastAsia="Times New Roman"/>
          <w:b/>
          <w:bCs/>
          <w:sz w:val="24"/>
          <w:szCs w:val="24"/>
        </w:rPr>
      </w:pPr>
      <w:r w:rsidRPr="00962089">
        <w:rPr>
          <w:rFonts w:eastAsia="Times New Roman"/>
          <w:b/>
          <w:bCs/>
          <w:sz w:val="24"/>
          <w:szCs w:val="24"/>
        </w:rPr>
        <w:t>Keep Your Plan Informed of Address Changes</w:t>
      </w:r>
    </w:p>
    <w:p w14:paraId="60809493"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To protect your and your family’s rights, keep the Plan Administrator informed of any changes in your address and the addresses of family members.  You should also keep a copy of any notices you send to the Plan Administrator. </w:t>
      </w:r>
    </w:p>
    <w:p w14:paraId="3FD0C683" w14:textId="77777777" w:rsidR="003532D3" w:rsidRPr="00962089" w:rsidRDefault="003532D3" w:rsidP="003532D3">
      <w:pPr>
        <w:spacing w:after="120" w:line="240" w:lineRule="auto"/>
        <w:rPr>
          <w:rFonts w:eastAsia="Times New Roman"/>
          <w:sz w:val="24"/>
          <w:szCs w:val="24"/>
        </w:rPr>
      </w:pPr>
    </w:p>
    <w:p w14:paraId="475C53C6" w14:textId="77777777" w:rsidR="003532D3" w:rsidRPr="00962089" w:rsidRDefault="003532D3" w:rsidP="003532D3">
      <w:pPr>
        <w:spacing w:after="120" w:line="240" w:lineRule="auto"/>
        <w:rPr>
          <w:rFonts w:eastAsia="Times New Roman"/>
          <w:sz w:val="24"/>
          <w:szCs w:val="24"/>
        </w:rPr>
      </w:pPr>
    </w:p>
    <w:p w14:paraId="3C06B802" w14:textId="77777777" w:rsidR="003532D3" w:rsidRPr="00962089" w:rsidRDefault="003532D3" w:rsidP="003532D3">
      <w:pPr>
        <w:spacing w:after="120" w:line="240" w:lineRule="auto"/>
        <w:rPr>
          <w:rFonts w:eastAsia="Times New Roman"/>
          <w:sz w:val="24"/>
          <w:szCs w:val="24"/>
        </w:rPr>
      </w:pPr>
    </w:p>
    <w:p w14:paraId="68CDFFD6" w14:textId="77777777" w:rsidR="003532D3" w:rsidRPr="00962089" w:rsidRDefault="003532D3" w:rsidP="003532D3">
      <w:pPr>
        <w:spacing w:after="120" w:line="240" w:lineRule="auto"/>
        <w:rPr>
          <w:rFonts w:eastAsia="Times New Roman"/>
          <w:sz w:val="24"/>
          <w:szCs w:val="24"/>
        </w:rPr>
      </w:pPr>
    </w:p>
    <w:p w14:paraId="41DCB026" w14:textId="77777777" w:rsidR="003532D3" w:rsidRPr="00962089" w:rsidRDefault="003532D3" w:rsidP="003532D3">
      <w:pPr>
        <w:spacing w:after="120" w:line="240" w:lineRule="auto"/>
        <w:rPr>
          <w:rFonts w:eastAsia="Times New Roman"/>
          <w:sz w:val="24"/>
          <w:szCs w:val="24"/>
        </w:rPr>
      </w:pPr>
    </w:p>
    <w:p w14:paraId="4A5E81DD" w14:textId="77777777" w:rsidR="003532D3" w:rsidRPr="00962089" w:rsidRDefault="0097469B" w:rsidP="003532D3">
      <w:pPr>
        <w:keepNext/>
        <w:spacing w:after="120" w:line="240" w:lineRule="auto"/>
        <w:jc w:val="center"/>
        <w:outlineLvl w:val="5"/>
        <w:rPr>
          <w:rFonts w:eastAsia="Arial Unicode MS"/>
          <w:b/>
          <w:bCs/>
          <w:sz w:val="24"/>
          <w:szCs w:val="24"/>
        </w:rPr>
      </w:pPr>
      <w:r w:rsidRPr="00962089">
        <w:rPr>
          <w:rFonts w:eastAsia="Times New Roman"/>
          <w:b/>
          <w:bCs/>
          <w:sz w:val="24"/>
          <w:szCs w:val="24"/>
        </w:rPr>
        <w:br w:type="page"/>
      </w:r>
      <w:r w:rsidRPr="00962089">
        <w:rPr>
          <w:rFonts w:eastAsia="Times New Roman"/>
          <w:b/>
          <w:bCs/>
          <w:sz w:val="24"/>
          <w:szCs w:val="24"/>
        </w:rPr>
        <w:lastRenderedPageBreak/>
        <w:t>COBRA Continuation Coverage Election Form</w:t>
      </w:r>
    </w:p>
    <w:p w14:paraId="26A8CFE2" w14:textId="77777777" w:rsidR="003532D3" w:rsidRPr="00962089" w:rsidRDefault="0097469B" w:rsidP="003532D3">
      <w:pPr>
        <w:spacing w:after="120" w:line="240" w:lineRule="auto"/>
        <w:rPr>
          <w:rFonts w:eastAsia="Times New Roman"/>
          <w:sz w:val="24"/>
          <w:szCs w:val="24"/>
        </w:rPr>
      </w:pPr>
      <w:r>
        <w:rPr>
          <w:rFonts w:eastAsia="Times New Roman"/>
          <w:noProof/>
          <w:sz w:val="24"/>
          <w:szCs w:val="24"/>
        </w:rPr>
        <mc:AlternateContent>
          <mc:Choice Requires="wps">
            <w:drawing>
              <wp:anchor distT="0" distB="0" distL="114300" distR="114300" simplePos="0" relativeHeight="251709440" behindDoc="0" locked="0" layoutInCell="1" allowOverlap="1" wp14:anchorId="005A72EF" wp14:editId="28F7F053">
                <wp:simplePos x="0" y="0"/>
                <wp:positionH relativeFrom="column">
                  <wp:posOffset>-76200</wp:posOffset>
                </wp:positionH>
                <wp:positionV relativeFrom="paragraph">
                  <wp:posOffset>53340</wp:posOffset>
                </wp:positionV>
                <wp:extent cx="6286500" cy="2796540"/>
                <wp:effectExtent l="22860" t="16510" r="15240" b="15875"/>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796540"/>
                        </a:xfrm>
                        <a:prstGeom prst="rect">
                          <a:avLst/>
                        </a:prstGeom>
                        <a:solidFill>
                          <a:srgbClr val="FFFFFF"/>
                        </a:solidFill>
                        <a:ln w="28575">
                          <a:solidFill>
                            <a:srgbClr val="000000"/>
                          </a:solidFill>
                          <a:prstDash val="sysDot"/>
                          <a:miter lim="800000"/>
                          <a:headEnd/>
                          <a:tailEnd/>
                        </a:ln>
                      </wps:spPr>
                      <wps:txbx>
                        <w:txbxContent>
                          <w:p w14:paraId="5A78219C" w14:textId="77777777" w:rsidR="005F4771" w:rsidRDefault="0097469B" w:rsidP="003532D3">
                            <w:pPr>
                              <w:rPr>
                                <w:b/>
                                <w:bCs/>
                              </w:rPr>
                            </w:pPr>
                            <w:r>
                              <w:rPr>
                                <w:b/>
                                <w:bCs/>
                              </w:rPr>
                              <w:t>Instructions</w:t>
                            </w:r>
                            <w:r>
                              <w:rPr>
                                <w:b/>
                                <w:bCs/>
                                <w:sz w:val="28"/>
                              </w:rPr>
                              <w:t xml:space="preserve">:  </w:t>
                            </w:r>
                            <w:r>
                              <w:rPr>
                                <w:b/>
                                <w:bCs/>
                              </w:rPr>
                              <w:t xml:space="preserve">To elect COBRA continuation coverage, complete this Election Form and return it to us.  Under federal law, you have 60 days after the date of this notice to decide whether you want to elect COBRA continuation coverage under the Plan.  </w:t>
                            </w:r>
                          </w:p>
                          <w:p w14:paraId="4DAE399C" w14:textId="77777777" w:rsidR="005F4771" w:rsidRDefault="0097469B" w:rsidP="003532D3">
                            <w:pPr>
                              <w:rPr>
                                <w:b/>
                                <w:bCs/>
                              </w:rPr>
                            </w:pPr>
                            <w:r>
                              <w:rPr>
                                <w:b/>
                                <w:bCs/>
                              </w:rPr>
                              <w:t xml:space="preserve">Send completed Election Form to:  </w:t>
                            </w:r>
                            <w:r w:rsidRPr="0090456D">
                              <w:rPr>
                                <w:b/>
                                <w:bCs/>
                                <w:color w:val="FF0000"/>
                              </w:rPr>
                              <w:t>[</w:t>
                            </w:r>
                            <w:r w:rsidRPr="0090456D">
                              <w:rPr>
                                <w:b/>
                                <w:bCs/>
                                <w:i/>
                                <w:iCs/>
                                <w:color w:val="FF0000"/>
                              </w:rPr>
                              <w:t>Enter Name and Address</w:t>
                            </w:r>
                            <w:r w:rsidRPr="0090456D">
                              <w:rPr>
                                <w:b/>
                                <w:bCs/>
                                <w:color w:val="FF0000"/>
                              </w:rPr>
                              <w:t>]</w:t>
                            </w:r>
                          </w:p>
                          <w:p w14:paraId="2FE4EAA4" w14:textId="77777777" w:rsidR="005F4771" w:rsidRDefault="0097469B" w:rsidP="003532D3">
                            <w:pPr>
                              <w:rPr>
                                <w:b/>
                                <w:bCs/>
                              </w:rPr>
                            </w:pPr>
                            <w:r>
                              <w:rPr>
                                <w:b/>
                                <w:bCs/>
                              </w:rPr>
                              <w:t xml:space="preserve">This Election Form must be completed and returned by mail </w:t>
                            </w:r>
                            <w:r w:rsidRPr="0090456D">
                              <w:rPr>
                                <w:b/>
                                <w:bCs/>
                                <w:color w:val="FF0000"/>
                              </w:rPr>
                              <w:t>[</w:t>
                            </w:r>
                            <w:r w:rsidRPr="0090456D">
                              <w:rPr>
                                <w:b/>
                                <w:bCs/>
                                <w:i/>
                                <w:iCs/>
                                <w:color w:val="FF0000"/>
                              </w:rPr>
                              <w:t>or describe other means of submission and due date</w:t>
                            </w:r>
                            <w:r w:rsidRPr="0090456D">
                              <w:rPr>
                                <w:b/>
                                <w:bCs/>
                                <w:color w:val="FF0000"/>
                              </w:rPr>
                              <w:t>]</w:t>
                            </w:r>
                            <w:r>
                              <w:rPr>
                                <w:b/>
                                <w:bCs/>
                              </w:rPr>
                              <w:t xml:space="preserve">.  If mailed, it must be post-marked no later than </w:t>
                            </w:r>
                            <w:r w:rsidRPr="0090456D">
                              <w:rPr>
                                <w:b/>
                                <w:bCs/>
                                <w:color w:val="FF0000"/>
                              </w:rPr>
                              <w:t>[</w:t>
                            </w:r>
                            <w:r w:rsidRPr="0090456D">
                              <w:rPr>
                                <w:b/>
                                <w:bCs/>
                                <w:i/>
                                <w:iCs/>
                                <w:color w:val="FF0000"/>
                              </w:rPr>
                              <w:t>enter date</w:t>
                            </w:r>
                            <w:r w:rsidRPr="0090456D">
                              <w:rPr>
                                <w:b/>
                                <w:bCs/>
                                <w:color w:val="FF0000"/>
                              </w:rPr>
                              <w:t>]</w:t>
                            </w:r>
                            <w:r>
                              <w:rPr>
                                <w:b/>
                                <w:bCs/>
                              </w:rPr>
                              <w:t xml:space="preserve">.  </w:t>
                            </w:r>
                          </w:p>
                          <w:p w14:paraId="7C0A6EAA" w14:textId="77777777" w:rsidR="005F4771" w:rsidRDefault="0097469B" w:rsidP="003532D3">
                            <w:pPr>
                              <w:rPr>
                                <w:b/>
                                <w:bCs/>
                              </w:rPr>
                            </w:pPr>
                            <w:r>
                              <w:rPr>
                                <w:b/>
                                <w:bCs/>
                              </w:rPr>
                              <w:t xml:space="preserve">If you don’t submit a completed Election Form by the due date shown above, you’ll lose your right to elect COBRA continuation coverage.  If you reject COBRA continuation coverage before the due date, you may change your mind as long as you submit a completed Election Form before the due date.  However, if you change your mind after first rejecting COBRA continuation coverage, your COBRA continuation coverage will begin on the date you submit the completed Election Form.  </w:t>
                            </w:r>
                          </w:p>
                          <w:p w14:paraId="37446ED6" w14:textId="77777777" w:rsidR="005F4771" w:rsidRDefault="005F4771" w:rsidP="003532D3">
                            <w:pPr>
                              <w:rPr>
                                <w:b/>
                                <w:bCs/>
                              </w:rPr>
                            </w:pPr>
                          </w:p>
                          <w:p w14:paraId="575CE3FA" w14:textId="77777777" w:rsidR="005F4771" w:rsidRDefault="0097469B" w:rsidP="003532D3">
                            <w:r>
                              <w:rPr>
                                <w:b/>
                                <w:bCs/>
                              </w:rPr>
                              <w:t>Read the important information about your rights included in the pages after the Election Form.</w:t>
                            </w:r>
                          </w:p>
                        </w:txbxContent>
                      </wps:txbx>
                      <wps:bodyPr rot="0" vert="horz" wrap="square" lIns="91440" tIns="45720" rIns="0" bIns="0" anchor="t" anchorCtr="0" upright="1"/>
                    </wps:wsp>
                  </a:graphicData>
                </a:graphic>
                <wp14:sizeRelH relativeFrom="page">
                  <wp14:pctWidth>0</wp14:pctWidth>
                </wp14:sizeRelH>
                <wp14:sizeRelV relativeFrom="page">
                  <wp14:pctHeight>0</wp14:pctHeight>
                </wp14:sizeRelV>
              </wp:anchor>
            </w:drawing>
          </mc:Choice>
          <mc:Fallback>
            <w:pict>
              <v:shape id="Text Box 1" o:spid="_x0000_s1065" type="#_x0000_t202" style="width:495pt;height:220.2pt;margin-top:4.2pt;margin-left:-6pt;mso-height-percent:0;mso-height-relative:page;mso-width-percent:0;mso-width-relative:page;mso-wrap-distance-bottom:0;mso-wrap-distance-left:9pt;mso-wrap-distance-right:9pt;mso-wrap-distance-top:0;mso-wrap-style:square;position:absolute;v-text-anchor:top;visibility:visible;z-index:251710464" strokeweight="2.25pt">
                <v:stroke dashstyle="1 1"/>
                <v:textbox inset=",,0,0">
                  <w:txbxContent>
                    <w:p w:rsidR="005F4771" w:rsidP="003532D3" w14:paraId="708FD3B8" w14:textId="77777777">
                      <w:pPr>
                        <w:rPr>
                          <w:b/>
                          <w:bCs/>
                        </w:rPr>
                      </w:pPr>
                      <w:r>
                        <w:rPr>
                          <w:b/>
                          <w:bCs/>
                        </w:rPr>
                        <w:t>Instructions</w:t>
                      </w:r>
                      <w:r>
                        <w:rPr>
                          <w:b/>
                          <w:bCs/>
                          <w:sz w:val="28"/>
                        </w:rPr>
                        <w:t xml:space="preserve">:  </w:t>
                      </w:r>
                      <w:r>
                        <w:rPr>
                          <w:b/>
                          <w:bCs/>
                        </w:rPr>
                        <w:t xml:space="preserve">To elect COBRA continuation coverage, complete this Election Form and return it to us.  Under federal law, you have 60 days after the date of this notice to decide whether you want to elect COBRA continuation coverage under the Plan.  </w:t>
                      </w:r>
                    </w:p>
                    <w:p w:rsidR="005F4771" w:rsidP="003532D3" w14:paraId="58BA3ADE" w14:textId="77777777">
                      <w:pPr>
                        <w:rPr>
                          <w:b/>
                          <w:bCs/>
                        </w:rPr>
                      </w:pPr>
                      <w:r>
                        <w:rPr>
                          <w:b/>
                          <w:bCs/>
                        </w:rPr>
                        <w:t>Send completed Election Form to</w:t>
                      </w:r>
                      <w:r>
                        <w:rPr>
                          <w:b/>
                          <w:bCs/>
                        </w:rPr>
                        <w:t xml:space="preserve">:  </w:t>
                      </w:r>
                      <w:r w:rsidRPr="0090456D">
                        <w:rPr>
                          <w:b/>
                          <w:bCs/>
                          <w:color w:val="FF0000"/>
                        </w:rPr>
                        <w:t>[</w:t>
                      </w:r>
                      <w:r w:rsidRPr="0090456D">
                        <w:rPr>
                          <w:b/>
                          <w:bCs/>
                          <w:i/>
                          <w:iCs/>
                          <w:color w:val="FF0000"/>
                        </w:rPr>
                        <w:t>Enter Name and Address</w:t>
                      </w:r>
                      <w:r w:rsidRPr="0090456D">
                        <w:rPr>
                          <w:b/>
                          <w:bCs/>
                          <w:color w:val="FF0000"/>
                        </w:rPr>
                        <w:t>]</w:t>
                      </w:r>
                    </w:p>
                    <w:p w:rsidR="005F4771" w:rsidP="003532D3" w14:paraId="7B714EC1" w14:textId="77777777">
                      <w:pPr>
                        <w:rPr>
                          <w:b/>
                          <w:bCs/>
                        </w:rPr>
                      </w:pPr>
                      <w:r>
                        <w:rPr>
                          <w:b/>
                          <w:bCs/>
                        </w:rPr>
                        <w:t xml:space="preserve">This Election Form must be completed and returned by mail </w:t>
                      </w:r>
                      <w:r w:rsidRPr="0090456D">
                        <w:rPr>
                          <w:b/>
                          <w:bCs/>
                          <w:color w:val="FF0000"/>
                        </w:rPr>
                        <w:t>[</w:t>
                      </w:r>
                      <w:r w:rsidRPr="0090456D">
                        <w:rPr>
                          <w:b/>
                          <w:bCs/>
                          <w:i/>
                          <w:iCs/>
                          <w:color w:val="FF0000"/>
                        </w:rPr>
                        <w:t>or describe other means of submission and due date</w:t>
                      </w:r>
                      <w:r w:rsidRPr="0090456D">
                        <w:rPr>
                          <w:b/>
                          <w:bCs/>
                          <w:color w:val="FF0000"/>
                        </w:rPr>
                        <w:t>]</w:t>
                      </w:r>
                      <w:r>
                        <w:rPr>
                          <w:b/>
                          <w:bCs/>
                        </w:rPr>
                        <w:t xml:space="preserve">.  If mailed, it must be post-marked no later than </w:t>
                      </w:r>
                      <w:r w:rsidRPr="0090456D">
                        <w:rPr>
                          <w:b/>
                          <w:bCs/>
                          <w:color w:val="FF0000"/>
                        </w:rPr>
                        <w:t>[</w:t>
                      </w:r>
                      <w:r w:rsidRPr="0090456D">
                        <w:rPr>
                          <w:b/>
                          <w:bCs/>
                          <w:i/>
                          <w:iCs/>
                          <w:color w:val="FF0000"/>
                        </w:rPr>
                        <w:t>enter date</w:t>
                      </w:r>
                      <w:r w:rsidRPr="0090456D">
                        <w:rPr>
                          <w:b/>
                          <w:bCs/>
                          <w:color w:val="FF0000"/>
                        </w:rPr>
                        <w:t>]</w:t>
                      </w:r>
                      <w:r>
                        <w:rPr>
                          <w:b/>
                          <w:bCs/>
                        </w:rPr>
                        <w:t xml:space="preserve">.  </w:t>
                      </w:r>
                    </w:p>
                    <w:p w:rsidR="005F4771" w:rsidP="003532D3" w14:paraId="44E748D6" w14:textId="77777777">
                      <w:pPr>
                        <w:rPr>
                          <w:b/>
                          <w:bCs/>
                        </w:rPr>
                      </w:pPr>
                      <w:r>
                        <w:rPr>
                          <w:b/>
                          <w:bCs/>
                        </w:rPr>
                        <w:t xml:space="preserve">If you don’t submit a completed Election Form by the due date shown above, you’ll lose your right to elect COBRA continuation coverage.  If you reject COBRA continuation coverage before the due date, you may change your mind </w:t>
                      </w:r>
                      <w:r>
                        <w:rPr>
                          <w:b/>
                          <w:bCs/>
                        </w:rPr>
                        <w:t>as long as</w:t>
                      </w:r>
                      <w:r>
                        <w:rPr>
                          <w:b/>
                          <w:bCs/>
                        </w:rPr>
                        <w:t xml:space="preserve"> you submit a completed Election Form before the due date.  However, if you change your mind after first rejecting COBRA continuation coverage, your COBRA continuation coverage will begin on the date you submit the completed Election Form.  </w:t>
                      </w:r>
                    </w:p>
                    <w:p w:rsidR="005F4771" w:rsidP="003532D3" w14:paraId="77E203FE" w14:textId="77777777">
                      <w:pPr>
                        <w:rPr>
                          <w:b/>
                          <w:bCs/>
                        </w:rPr>
                      </w:pPr>
                    </w:p>
                    <w:p w:rsidR="005F4771" w:rsidP="003532D3" w14:paraId="34C027B4" w14:textId="77777777">
                      <w:r>
                        <w:rPr>
                          <w:b/>
                          <w:bCs/>
                        </w:rPr>
                        <w:t>Read the important information about your rights included in the pages after the Election Form.</w:t>
                      </w:r>
                    </w:p>
                  </w:txbxContent>
                </v:textbox>
                <w10:wrap type="square"/>
              </v:shape>
            </w:pict>
          </mc:Fallback>
        </mc:AlternateContent>
      </w:r>
      <w:r w:rsidR="003532D3" w:rsidRPr="00962089">
        <w:rPr>
          <w:rFonts w:eastAsia="Times New Roman"/>
          <w:sz w:val="24"/>
          <w:szCs w:val="24"/>
        </w:rPr>
        <w:t xml:space="preserve">I (We) elect COBRA continuation coverage in the </w:t>
      </w:r>
      <w:r w:rsidR="003532D3" w:rsidRPr="00962089">
        <w:rPr>
          <w:rFonts w:eastAsia="Times New Roman"/>
          <w:color w:val="FF0000"/>
          <w:sz w:val="24"/>
          <w:szCs w:val="24"/>
        </w:rPr>
        <w:t>[</w:t>
      </w:r>
      <w:r w:rsidR="003532D3" w:rsidRPr="00962089">
        <w:rPr>
          <w:rFonts w:eastAsia="Times New Roman"/>
          <w:i/>
          <w:iCs/>
          <w:color w:val="FF0000"/>
          <w:sz w:val="24"/>
          <w:szCs w:val="24"/>
        </w:rPr>
        <w:t>enter name of plan</w:t>
      </w:r>
      <w:r w:rsidR="003532D3" w:rsidRPr="00962089">
        <w:rPr>
          <w:rFonts w:eastAsia="Times New Roman"/>
          <w:color w:val="FF0000"/>
          <w:sz w:val="24"/>
          <w:szCs w:val="24"/>
        </w:rPr>
        <w:t>]</w:t>
      </w:r>
      <w:r w:rsidR="003532D3" w:rsidRPr="00962089">
        <w:rPr>
          <w:rFonts w:eastAsia="Times New Roman"/>
          <w:sz w:val="24"/>
          <w:szCs w:val="24"/>
        </w:rPr>
        <w:t xml:space="preserve"> (the Plan)</w:t>
      </w:r>
      <w:r w:rsidR="003532D3" w:rsidRPr="00962089">
        <w:rPr>
          <w:rFonts w:eastAsia="Times New Roman"/>
          <w:b/>
          <w:bCs/>
          <w:sz w:val="24"/>
          <w:szCs w:val="24"/>
        </w:rPr>
        <w:t xml:space="preserve"> </w:t>
      </w:r>
      <w:r w:rsidR="003532D3" w:rsidRPr="00962089">
        <w:rPr>
          <w:rFonts w:eastAsia="Times New Roman"/>
          <w:sz w:val="24"/>
          <w:szCs w:val="24"/>
        </w:rPr>
        <w:t>listed below:</w:t>
      </w:r>
    </w:p>
    <w:p w14:paraId="353BC75A" w14:textId="77777777" w:rsidR="003532D3" w:rsidRPr="00962089" w:rsidRDefault="0097469B" w:rsidP="003532D3">
      <w:pPr>
        <w:tabs>
          <w:tab w:val="left" w:pos="360"/>
          <w:tab w:val="left" w:pos="1620"/>
          <w:tab w:val="left" w:pos="2880"/>
          <w:tab w:val="left" w:pos="3600"/>
          <w:tab w:val="left" w:pos="5220"/>
          <w:tab w:val="left" w:pos="6660"/>
        </w:tabs>
        <w:spacing w:after="120" w:line="240" w:lineRule="auto"/>
        <w:rPr>
          <w:rFonts w:eastAsia="Times New Roman"/>
          <w:sz w:val="24"/>
          <w:szCs w:val="24"/>
        </w:rPr>
      </w:pPr>
      <w:r w:rsidRPr="00962089">
        <w:rPr>
          <w:rFonts w:eastAsia="Times New Roman"/>
          <w:sz w:val="24"/>
          <w:szCs w:val="24"/>
        </w:rPr>
        <w:tab/>
        <w:t>Name</w:t>
      </w:r>
      <w:r w:rsidRPr="00962089">
        <w:rPr>
          <w:rFonts w:eastAsia="Times New Roman"/>
          <w:sz w:val="24"/>
          <w:szCs w:val="24"/>
        </w:rPr>
        <w:tab/>
        <w:t>Date of Birth Relationship to Employee</w:t>
      </w:r>
      <w:r w:rsidRPr="00962089">
        <w:rPr>
          <w:rFonts w:eastAsia="Times New Roman"/>
          <w:sz w:val="24"/>
          <w:szCs w:val="24"/>
        </w:rPr>
        <w:tab/>
        <w:t>SSN (or other identifier)</w:t>
      </w:r>
    </w:p>
    <w:p w14:paraId="515B8EA7"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a. _________________________________________________________________________</w:t>
      </w:r>
    </w:p>
    <w:p w14:paraId="407C7708"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ab/>
        <w:t>[</w:t>
      </w:r>
      <w:r w:rsidRPr="00962089">
        <w:rPr>
          <w:rFonts w:eastAsia="Times New Roman"/>
          <w:i/>
          <w:iCs/>
          <w:color w:val="FF0000"/>
          <w:sz w:val="24"/>
          <w:szCs w:val="24"/>
        </w:rPr>
        <w:t>Add if appropriate:</w:t>
      </w:r>
      <w:r w:rsidRPr="00962089">
        <w:rPr>
          <w:rFonts w:eastAsia="Times New Roman"/>
          <w:i/>
          <w:iCs/>
          <w:sz w:val="24"/>
          <w:szCs w:val="24"/>
        </w:rPr>
        <w:t xml:space="preserve">  </w:t>
      </w:r>
      <w:r w:rsidRPr="00962089">
        <w:rPr>
          <w:rFonts w:eastAsia="Times New Roman"/>
          <w:sz w:val="24"/>
          <w:szCs w:val="24"/>
        </w:rPr>
        <w:t>Coverage option elected: _______________________________]</w:t>
      </w:r>
    </w:p>
    <w:p w14:paraId="01EF49FF"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b. </w:t>
      </w:r>
      <w:r w:rsidRPr="00962089">
        <w:rPr>
          <w:rFonts w:eastAsia="Times New Roman"/>
          <w:sz w:val="24"/>
          <w:szCs w:val="24"/>
        </w:rPr>
        <w:t>_________________________________________________________________________</w:t>
      </w:r>
    </w:p>
    <w:p w14:paraId="53F6782E"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ab/>
        <w:t>[</w:t>
      </w:r>
      <w:r w:rsidRPr="00962089">
        <w:rPr>
          <w:rFonts w:eastAsia="Times New Roman"/>
          <w:i/>
          <w:iCs/>
          <w:color w:val="FF0000"/>
          <w:sz w:val="24"/>
          <w:szCs w:val="24"/>
        </w:rPr>
        <w:t>Add if appropriate:</w:t>
      </w:r>
      <w:r w:rsidRPr="00962089">
        <w:rPr>
          <w:rFonts w:eastAsia="Times New Roman"/>
          <w:i/>
          <w:iCs/>
          <w:sz w:val="24"/>
          <w:szCs w:val="24"/>
        </w:rPr>
        <w:t xml:space="preserve">  </w:t>
      </w:r>
      <w:r w:rsidRPr="00962089">
        <w:rPr>
          <w:rFonts w:eastAsia="Times New Roman"/>
          <w:sz w:val="24"/>
          <w:szCs w:val="24"/>
        </w:rPr>
        <w:t xml:space="preserve">Coverage option elected: _______________________________] </w:t>
      </w:r>
    </w:p>
    <w:p w14:paraId="316D4D90"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c. _________________________________________________________________________</w:t>
      </w:r>
    </w:p>
    <w:p w14:paraId="4945576B"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ab/>
        <w:t>[</w:t>
      </w:r>
      <w:r w:rsidRPr="00962089">
        <w:rPr>
          <w:rFonts w:eastAsia="Times New Roman"/>
          <w:i/>
          <w:iCs/>
          <w:color w:val="FF0000"/>
          <w:sz w:val="24"/>
          <w:szCs w:val="24"/>
        </w:rPr>
        <w:t>Add if appropriate:</w:t>
      </w:r>
      <w:r w:rsidRPr="00962089">
        <w:rPr>
          <w:rFonts w:eastAsia="Times New Roman"/>
          <w:i/>
          <w:iCs/>
          <w:sz w:val="24"/>
          <w:szCs w:val="24"/>
        </w:rPr>
        <w:t xml:space="preserve">  </w:t>
      </w:r>
      <w:r w:rsidRPr="00962089">
        <w:rPr>
          <w:rFonts w:eastAsia="Times New Roman"/>
          <w:sz w:val="24"/>
          <w:szCs w:val="24"/>
        </w:rPr>
        <w:t>Coverage option elected: _______________________________]</w:t>
      </w:r>
    </w:p>
    <w:p w14:paraId="04377001" w14:textId="77777777" w:rsidR="003532D3" w:rsidRPr="00962089" w:rsidRDefault="003532D3" w:rsidP="003532D3">
      <w:pPr>
        <w:spacing w:after="120" w:line="240" w:lineRule="auto"/>
        <w:rPr>
          <w:rFonts w:eastAsia="Times New Roman"/>
          <w:sz w:val="24"/>
          <w:szCs w:val="24"/>
        </w:rPr>
      </w:pPr>
    </w:p>
    <w:p w14:paraId="5DD07874"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_____________________________________          _____________________________</w:t>
      </w:r>
    </w:p>
    <w:p w14:paraId="21A9ECC8"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Signature</w:t>
      </w:r>
      <w:r w:rsidRPr="00962089">
        <w:rPr>
          <w:rFonts w:eastAsia="Times New Roman"/>
          <w:sz w:val="24"/>
          <w:szCs w:val="24"/>
        </w:rPr>
        <w:tab/>
      </w:r>
      <w:r w:rsidRPr="00962089">
        <w:rPr>
          <w:rFonts w:eastAsia="Times New Roman"/>
          <w:sz w:val="24"/>
          <w:szCs w:val="24"/>
        </w:rPr>
        <w:tab/>
      </w:r>
      <w:r w:rsidRPr="00962089">
        <w:rPr>
          <w:rFonts w:eastAsia="Times New Roman"/>
          <w:sz w:val="24"/>
          <w:szCs w:val="24"/>
        </w:rPr>
        <w:tab/>
      </w:r>
      <w:r w:rsidRPr="00962089">
        <w:rPr>
          <w:rFonts w:eastAsia="Times New Roman"/>
          <w:sz w:val="24"/>
          <w:szCs w:val="24"/>
        </w:rPr>
        <w:tab/>
      </w:r>
      <w:r w:rsidRPr="00962089">
        <w:rPr>
          <w:rFonts w:eastAsia="Times New Roman"/>
          <w:sz w:val="24"/>
          <w:szCs w:val="24"/>
        </w:rPr>
        <w:tab/>
      </w:r>
      <w:r w:rsidRPr="00962089">
        <w:rPr>
          <w:rFonts w:eastAsia="Times New Roman"/>
          <w:sz w:val="24"/>
          <w:szCs w:val="24"/>
        </w:rPr>
        <w:tab/>
        <w:t>Date</w:t>
      </w:r>
    </w:p>
    <w:p w14:paraId="0EED8B0D"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______________________________________</w:t>
      </w:r>
      <w:r w:rsidRPr="00962089">
        <w:rPr>
          <w:rFonts w:eastAsia="Times New Roman"/>
          <w:sz w:val="24"/>
          <w:szCs w:val="24"/>
        </w:rPr>
        <w:tab/>
        <w:t>_____________________________</w:t>
      </w:r>
    </w:p>
    <w:p w14:paraId="49FC35C2" w14:textId="77777777" w:rsidR="003532D3" w:rsidRPr="00962089" w:rsidRDefault="0097469B" w:rsidP="003532D3">
      <w:pPr>
        <w:spacing w:after="120" w:line="240" w:lineRule="auto"/>
        <w:ind w:left="5040" w:hanging="5040"/>
        <w:rPr>
          <w:rFonts w:eastAsia="Times New Roman"/>
          <w:sz w:val="24"/>
          <w:szCs w:val="24"/>
        </w:rPr>
      </w:pPr>
      <w:r w:rsidRPr="00962089">
        <w:rPr>
          <w:rFonts w:eastAsia="Times New Roman"/>
          <w:sz w:val="24"/>
          <w:szCs w:val="24"/>
        </w:rPr>
        <w:t>Print Name</w:t>
      </w:r>
      <w:r w:rsidRPr="00962089">
        <w:rPr>
          <w:rFonts w:eastAsia="Times New Roman"/>
          <w:sz w:val="24"/>
          <w:szCs w:val="24"/>
        </w:rPr>
        <w:tab/>
      </w:r>
      <w:r w:rsidRPr="00962089">
        <w:rPr>
          <w:rFonts w:eastAsia="Times New Roman"/>
          <w:sz w:val="24"/>
          <w:szCs w:val="24"/>
        </w:rPr>
        <w:t>Relationship to individual(s) listed above</w:t>
      </w:r>
    </w:p>
    <w:p w14:paraId="6BA72A9E" w14:textId="77777777" w:rsidR="003532D3" w:rsidRPr="00962089" w:rsidRDefault="0097469B" w:rsidP="003532D3">
      <w:pPr>
        <w:spacing w:after="120" w:line="240" w:lineRule="auto"/>
        <w:rPr>
          <w:rFonts w:eastAsia="Times New Roman"/>
          <w:b/>
          <w:bCs/>
          <w:sz w:val="24"/>
          <w:szCs w:val="24"/>
        </w:rPr>
      </w:pPr>
      <w:r w:rsidRPr="00962089">
        <w:rPr>
          <w:rFonts w:eastAsia="Times New Roman"/>
          <w:b/>
          <w:bCs/>
          <w:sz w:val="24"/>
          <w:szCs w:val="24"/>
        </w:rPr>
        <w:t>______________________________________</w:t>
      </w:r>
    </w:p>
    <w:p w14:paraId="071AD2C2" w14:textId="77777777" w:rsidR="003532D3" w:rsidRPr="00962089" w:rsidRDefault="0097469B" w:rsidP="003532D3">
      <w:pPr>
        <w:spacing w:after="120" w:line="240" w:lineRule="auto"/>
        <w:rPr>
          <w:rFonts w:eastAsia="Times New Roman"/>
          <w:b/>
          <w:bCs/>
          <w:sz w:val="24"/>
          <w:szCs w:val="24"/>
        </w:rPr>
      </w:pPr>
      <w:r w:rsidRPr="00962089">
        <w:rPr>
          <w:rFonts w:eastAsia="Times New Roman"/>
          <w:b/>
          <w:bCs/>
          <w:sz w:val="24"/>
          <w:szCs w:val="24"/>
        </w:rPr>
        <w:t>______________________________________</w:t>
      </w:r>
    </w:p>
    <w:p w14:paraId="2B140A8F"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______________________________________</w:t>
      </w:r>
      <w:r w:rsidRPr="00962089">
        <w:rPr>
          <w:rFonts w:eastAsia="Times New Roman"/>
          <w:sz w:val="24"/>
          <w:szCs w:val="24"/>
        </w:rPr>
        <w:tab/>
        <w:t>______________________________</w:t>
      </w:r>
    </w:p>
    <w:p w14:paraId="3AE5DEA0"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Print Address</w:t>
      </w:r>
      <w:r w:rsidRPr="00962089">
        <w:rPr>
          <w:rFonts w:eastAsia="Times New Roman"/>
          <w:sz w:val="24"/>
          <w:szCs w:val="24"/>
        </w:rPr>
        <w:tab/>
      </w:r>
      <w:r w:rsidRPr="00962089">
        <w:rPr>
          <w:rFonts w:eastAsia="Times New Roman"/>
          <w:sz w:val="24"/>
          <w:szCs w:val="24"/>
        </w:rPr>
        <w:tab/>
      </w:r>
      <w:r w:rsidRPr="00962089">
        <w:rPr>
          <w:rFonts w:eastAsia="Times New Roman"/>
          <w:sz w:val="24"/>
          <w:szCs w:val="24"/>
        </w:rPr>
        <w:tab/>
      </w:r>
      <w:r w:rsidRPr="00962089">
        <w:rPr>
          <w:rFonts w:eastAsia="Times New Roman"/>
          <w:sz w:val="24"/>
          <w:szCs w:val="24"/>
        </w:rPr>
        <w:tab/>
      </w:r>
      <w:r w:rsidRPr="00962089">
        <w:rPr>
          <w:rFonts w:eastAsia="Times New Roman"/>
          <w:sz w:val="24"/>
          <w:szCs w:val="24"/>
        </w:rPr>
        <w:tab/>
      </w:r>
      <w:r w:rsidRPr="00962089">
        <w:rPr>
          <w:rFonts w:eastAsia="Times New Roman"/>
          <w:sz w:val="24"/>
          <w:szCs w:val="24"/>
        </w:rPr>
        <w:tab/>
        <w:t>Telephone number</w:t>
      </w:r>
    </w:p>
    <w:p w14:paraId="1F9A6F54" w14:textId="77777777" w:rsidR="003532D3" w:rsidRDefault="003532D3" w:rsidP="003532D3">
      <w:pPr>
        <w:tabs>
          <w:tab w:val="left" w:pos="4680"/>
        </w:tabs>
        <w:spacing w:after="120" w:line="240" w:lineRule="auto"/>
        <w:rPr>
          <w:rFonts w:eastAsia="Times New Roman"/>
          <w:b/>
          <w:sz w:val="24"/>
          <w:szCs w:val="24"/>
        </w:rPr>
      </w:pPr>
    </w:p>
    <w:p w14:paraId="02AD9CC5" w14:textId="77777777" w:rsidR="000C1AD3" w:rsidRPr="00962089" w:rsidRDefault="000C1AD3" w:rsidP="003532D3">
      <w:pPr>
        <w:tabs>
          <w:tab w:val="left" w:pos="4680"/>
        </w:tabs>
        <w:spacing w:after="120" w:line="240" w:lineRule="auto"/>
        <w:rPr>
          <w:rFonts w:eastAsia="Times New Roman"/>
          <w:b/>
          <w:sz w:val="24"/>
          <w:szCs w:val="24"/>
        </w:rPr>
      </w:pPr>
    </w:p>
    <w:p w14:paraId="5963EE55" w14:textId="77777777" w:rsidR="003532D3" w:rsidRPr="000C1AD3" w:rsidRDefault="0097469B" w:rsidP="000C1AD3">
      <w:pPr>
        <w:jc w:val="center"/>
        <w:rPr>
          <w:rFonts w:eastAsia="Arial Unicode MS"/>
          <w:b/>
          <w:bCs/>
          <w:sz w:val="24"/>
          <w:szCs w:val="24"/>
        </w:rPr>
      </w:pPr>
      <w:r w:rsidRPr="000C1AD3">
        <w:rPr>
          <w:b/>
          <w:bCs/>
          <w:sz w:val="24"/>
          <w:szCs w:val="24"/>
        </w:rPr>
        <w:lastRenderedPageBreak/>
        <w:t>Important Information about Payment</w:t>
      </w:r>
    </w:p>
    <w:p w14:paraId="69BB18A2" w14:textId="77777777" w:rsidR="003532D3" w:rsidRPr="00962089" w:rsidRDefault="0097469B" w:rsidP="003532D3">
      <w:pPr>
        <w:spacing w:after="120" w:line="240" w:lineRule="auto"/>
        <w:rPr>
          <w:rFonts w:eastAsia="Times New Roman"/>
          <w:i/>
          <w:iCs/>
          <w:sz w:val="24"/>
          <w:szCs w:val="24"/>
        </w:rPr>
      </w:pPr>
      <w:r w:rsidRPr="00962089">
        <w:rPr>
          <w:rFonts w:eastAsia="Times New Roman"/>
          <w:i/>
          <w:iCs/>
          <w:sz w:val="24"/>
          <w:szCs w:val="24"/>
        </w:rPr>
        <w:t>First payment for continuation coverage</w:t>
      </w:r>
    </w:p>
    <w:p w14:paraId="49ACE2F5"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You must make your first payment for continuation coverage no later than 45 days after the date of your election (this is the date the Election Notice is postmarked).  If you don’t make your first payment in full no later than 45 days after the date of your election, you’ll lose all continuation coverage rights under the Plan.  You’re responsible for making sure that the amount of your first payment is correct.  You may contact </w:t>
      </w:r>
      <w:r w:rsidRPr="00962089">
        <w:rPr>
          <w:rFonts w:eastAsia="Times New Roman"/>
          <w:color w:val="FF0000"/>
          <w:sz w:val="24"/>
          <w:szCs w:val="24"/>
        </w:rPr>
        <w:t>[</w:t>
      </w:r>
      <w:r w:rsidRPr="00962089">
        <w:rPr>
          <w:rFonts w:eastAsia="Times New Roman"/>
          <w:i/>
          <w:iCs/>
          <w:color w:val="FF0000"/>
          <w:sz w:val="24"/>
          <w:szCs w:val="24"/>
        </w:rPr>
        <w:t xml:space="preserve">enter appropriate </w:t>
      </w:r>
      <w:r w:rsidRPr="00962089">
        <w:rPr>
          <w:rFonts w:eastAsia="Times New Roman"/>
          <w:i/>
          <w:iCs/>
          <w:color w:val="FF0000"/>
          <w:sz w:val="24"/>
          <w:szCs w:val="24"/>
        </w:rPr>
        <w:t>contact information, e.g., the Plan Administrator or other party responsible for COBRA administration under the Plan</w:t>
      </w:r>
      <w:r w:rsidRPr="00962089">
        <w:rPr>
          <w:rFonts w:eastAsia="Times New Roman"/>
          <w:color w:val="FF0000"/>
          <w:sz w:val="24"/>
          <w:szCs w:val="24"/>
        </w:rPr>
        <w:t xml:space="preserve">] </w:t>
      </w:r>
      <w:r w:rsidRPr="00962089">
        <w:rPr>
          <w:rFonts w:eastAsia="Times New Roman"/>
          <w:sz w:val="24"/>
          <w:szCs w:val="24"/>
        </w:rPr>
        <w:t>to confirm the correct amount of your first payment.</w:t>
      </w:r>
    </w:p>
    <w:p w14:paraId="088B9E42" w14:textId="77777777" w:rsidR="003532D3" w:rsidRPr="00962089" w:rsidRDefault="0097469B" w:rsidP="003532D3">
      <w:pPr>
        <w:spacing w:after="120" w:line="240" w:lineRule="auto"/>
        <w:rPr>
          <w:rFonts w:eastAsia="Times New Roman"/>
          <w:i/>
          <w:iCs/>
          <w:sz w:val="24"/>
          <w:szCs w:val="24"/>
        </w:rPr>
      </w:pPr>
      <w:r w:rsidRPr="00962089">
        <w:rPr>
          <w:rFonts w:eastAsia="Times New Roman"/>
          <w:i/>
          <w:iCs/>
          <w:sz w:val="24"/>
          <w:szCs w:val="24"/>
        </w:rPr>
        <w:t>Periodic payments for continuation coverage</w:t>
      </w:r>
    </w:p>
    <w:p w14:paraId="6F4307DD"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After you make your first payment for continuation coverage, you’ll have to make periodic payments for each coverage period that follows.  The amount due for each coverage period for each qualified beneficiary is shown in this notice.  The periodic payments can be made on a monthly basis.  Under the Plan, each of these periodic payments for continuation coverage is due [</w:t>
      </w:r>
      <w:r w:rsidRPr="00962089">
        <w:rPr>
          <w:rFonts w:eastAsia="Times New Roman"/>
          <w:i/>
          <w:iCs/>
          <w:sz w:val="24"/>
          <w:szCs w:val="24"/>
        </w:rPr>
        <w:t>enter due day for each monthly payment</w:t>
      </w:r>
      <w:r w:rsidRPr="00962089">
        <w:rPr>
          <w:rFonts w:eastAsia="Times New Roman"/>
          <w:sz w:val="24"/>
          <w:szCs w:val="24"/>
        </w:rPr>
        <w:t>] for that coverage period</w:t>
      </w:r>
      <w:r w:rsidRPr="00962089">
        <w:rPr>
          <w:rFonts w:eastAsia="Times New Roman"/>
          <w:color w:val="FF0000"/>
          <w:sz w:val="24"/>
          <w:szCs w:val="24"/>
        </w:rPr>
        <w:t>.  [</w:t>
      </w:r>
      <w:r w:rsidRPr="00962089">
        <w:rPr>
          <w:rFonts w:eastAsia="Times New Roman"/>
          <w:i/>
          <w:iCs/>
          <w:color w:val="FF0000"/>
          <w:sz w:val="24"/>
          <w:szCs w:val="24"/>
        </w:rPr>
        <w:t xml:space="preserve">If Plan offers other payment schedules, enter with appropriate dates:  </w:t>
      </w:r>
      <w:r w:rsidRPr="00962089">
        <w:rPr>
          <w:rFonts w:eastAsia="Times New Roman"/>
          <w:sz w:val="24"/>
          <w:szCs w:val="24"/>
        </w:rPr>
        <w:t xml:space="preserve">You may instead make payments for continuation coverage for the following coverage periods, due on the following dates:].  If you make a periodic payment on or before the first day of the coverage period to which it applies, your coverage under the Plan will continue for that coverage period without any break.  The Plan </w:t>
      </w:r>
      <w:r w:rsidRPr="00962089">
        <w:rPr>
          <w:rFonts w:eastAsia="Times New Roman"/>
          <w:color w:val="FF0000"/>
          <w:sz w:val="24"/>
          <w:szCs w:val="24"/>
        </w:rPr>
        <w:t>[</w:t>
      </w:r>
      <w:r w:rsidRPr="00962089">
        <w:rPr>
          <w:rFonts w:eastAsia="Times New Roman"/>
          <w:i/>
          <w:iCs/>
          <w:color w:val="FF0000"/>
          <w:sz w:val="24"/>
          <w:szCs w:val="24"/>
        </w:rPr>
        <w:t xml:space="preserve">select one:  </w:t>
      </w:r>
      <w:r w:rsidRPr="00962089">
        <w:rPr>
          <w:rFonts w:eastAsia="Times New Roman"/>
          <w:color w:val="FF0000"/>
          <w:sz w:val="24"/>
          <w:szCs w:val="24"/>
        </w:rPr>
        <w:t xml:space="preserve">will </w:t>
      </w:r>
      <w:r w:rsidRPr="00962089">
        <w:rPr>
          <w:rFonts w:eastAsia="Times New Roman"/>
          <w:i/>
          <w:iCs/>
          <w:color w:val="FF0000"/>
          <w:sz w:val="24"/>
          <w:szCs w:val="24"/>
        </w:rPr>
        <w:t xml:space="preserve">or </w:t>
      </w:r>
      <w:r w:rsidRPr="00962089">
        <w:rPr>
          <w:rFonts w:eastAsia="Times New Roman"/>
          <w:color w:val="FF0000"/>
          <w:sz w:val="24"/>
          <w:szCs w:val="24"/>
        </w:rPr>
        <w:t>will not]</w:t>
      </w:r>
      <w:r w:rsidRPr="00962089">
        <w:rPr>
          <w:rFonts w:eastAsia="Times New Roman"/>
          <w:sz w:val="24"/>
          <w:szCs w:val="24"/>
        </w:rPr>
        <w:t xml:space="preserve"> send periodic notic</w:t>
      </w:r>
      <w:r w:rsidRPr="00962089">
        <w:rPr>
          <w:rFonts w:eastAsia="Times New Roman"/>
          <w:sz w:val="24"/>
          <w:szCs w:val="24"/>
        </w:rPr>
        <w:t xml:space="preserve">es of payments due for these coverage periods.  </w:t>
      </w:r>
    </w:p>
    <w:p w14:paraId="7991AAD5" w14:textId="77777777" w:rsidR="003532D3" w:rsidRPr="00962089" w:rsidRDefault="0097469B" w:rsidP="003532D3">
      <w:pPr>
        <w:spacing w:after="120" w:line="240" w:lineRule="auto"/>
        <w:rPr>
          <w:rFonts w:eastAsia="Times New Roman"/>
          <w:i/>
          <w:iCs/>
          <w:sz w:val="24"/>
          <w:szCs w:val="24"/>
        </w:rPr>
      </w:pPr>
      <w:r w:rsidRPr="00962089">
        <w:rPr>
          <w:rFonts w:eastAsia="Times New Roman"/>
          <w:i/>
          <w:iCs/>
          <w:sz w:val="24"/>
          <w:szCs w:val="24"/>
        </w:rPr>
        <w:t>Grace periods for periodic payments</w:t>
      </w:r>
    </w:p>
    <w:p w14:paraId="6453AFD4"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 xml:space="preserve">Although periodic payments are due on the dates shown above, you’ll be given a grace period of 30 days after the first day of the coverage period </w:t>
      </w:r>
      <w:r w:rsidRPr="00962089">
        <w:rPr>
          <w:rFonts w:eastAsia="Times New Roman"/>
          <w:color w:val="FF0000"/>
          <w:sz w:val="24"/>
          <w:szCs w:val="24"/>
        </w:rPr>
        <w:t>[</w:t>
      </w:r>
      <w:r w:rsidRPr="00962089">
        <w:rPr>
          <w:rFonts w:eastAsia="Times New Roman"/>
          <w:i/>
          <w:iCs/>
          <w:color w:val="FF0000"/>
          <w:sz w:val="24"/>
          <w:szCs w:val="24"/>
        </w:rPr>
        <w:t>or enter longer period permitted by Plan</w:t>
      </w:r>
      <w:r w:rsidRPr="00962089">
        <w:rPr>
          <w:rFonts w:eastAsia="Times New Roman"/>
          <w:color w:val="FF0000"/>
          <w:sz w:val="24"/>
          <w:szCs w:val="24"/>
        </w:rPr>
        <w:t>]</w:t>
      </w:r>
      <w:r w:rsidRPr="00962089">
        <w:rPr>
          <w:rFonts w:eastAsia="Times New Roman"/>
          <w:sz w:val="24"/>
          <w:szCs w:val="24"/>
        </w:rPr>
        <w:t xml:space="preserve"> to make each periodic payment.  You’ll get continuation coverage for each coverage period as long as payment for that coverage period is made before the end of the grace period.  </w:t>
      </w:r>
      <w:r w:rsidRPr="00962089">
        <w:rPr>
          <w:rFonts w:eastAsia="Times New Roman"/>
          <w:color w:val="FF0000"/>
          <w:sz w:val="24"/>
          <w:szCs w:val="24"/>
        </w:rPr>
        <w:t>[</w:t>
      </w:r>
      <w:r w:rsidRPr="00962089">
        <w:rPr>
          <w:rFonts w:eastAsia="Times New Roman"/>
          <w:i/>
          <w:iCs/>
          <w:color w:val="FF0000"/>
          <w:sz w:val="24"/>
          <w:szCs w:val="24"/>
        </w:rPr>
        <w:t>If Plan suspends coverage during grace period for nonpayment, enter and modify as necessary:</w:t>
      </w:r>
      <w:r w:rsidRPr="00962089">
        <w:rPr>
          <w:rFonts w:eastAsia="Times New Roman"/>
          <w:i/>
          <w:iCs/>
          <w:sz w:val="24"/>
          <w:szCs w:val="24"/>
        </w:rPr>
        <w:t xml:space="preserve">  </w:t>
      </w:r>
      <w:r w:rsidRPr="00962089">
        <w:rPr>
          <w:rFonts w:eastAsia="Times New Roman"/>
          <w:sz w:val="24"/>
          <w:szCs w:val="24"/>
        </w:rPr>
        <w:t xml:space="preserve">If you pay a periodic payment later than the first day of the coverage period to which it applies, but before the end of the grace period for the coverage period, your coverage will be suspended </w:t>
      </w:r>
      <w:r w:rsidRPr="00962089">
        <w:rPr>
          <w:rFonts w:eastAsia="Times New Roman"/>
          <w:sz w:val="24"/>
          <w:szCs w:val="24"/>
        </w:rPr>
        <w:t>as of the first day of the coverage period and then retroactively reinstated (going back to the first day of the coverage period) when the periodic payment is received.  This means that any claim you submit for benefits while your coverage is suspended may be denied and may have to be resubmitted once your coverage is reinstated.]</w:t>
      </w:r>
    </w:p>
    <w:p w14:paraId="798D3AFE"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If you don’t make a periodic payment before the end of the grace period for that coverage period, you’ll lose all rights to continuation coverage under the Plan.</w:t>
      </w:r>
    </w:p>
    <w:p w14:paraId="3A1D2074" w14:textId="77777777" w:rsidR="003532D3" w:rsidRPr="00962089" w:rsidRDefault="0097469B" w:rsidP="003532D3">
      <w:pPr>
        <w:spacing w:after="120" w:line="240" w:lineRule="auto"/>
        <w:rPr>
          <w:rFonts w:eastAsia="Times New Roman"/>
          <w:sz w:val="24"/>
          <w:szCs w:val="24"/>
        </w:rPr>
      </w:pPr>
      <w:r w:rsidRPr="00962089">
        <w:rPr>
          <w:rFonts w:eastAsia="Times New Roman"/>
          <w:sz w:val="24"/>
          <w:szCs w:val="24"/>
        </w:rPr>
        <w:t>Your first payment and all periodic payments for continuation coverage should be sent to:</w:t>
      </w:r>
    </w:p>
    <w:p w14:paraId="0A72D77D" w14:textId="77777777" w:rsidR="003532D3" w:rsidRPr="00962089" w:rsidRDefault="0097469B" w:rsidP="003532D3">
      <w:pPr>
        <w:spacing w:after="120" w:line="240" w:lineRule="auto"/>
        <w:rPr>
          <w:rFonts w:eastAsia="Times New Roman"/>
          <w:color w:val="FF0000"/>
          <w:sz w:val="24"/>
          <w:szCs w:val="24"/>
        </w:rPr>
      </w:pPr>
      <w:r w:rsidRPr="00962089">
        <w:rPr>
          <w:rFonts w:eastAsia="Times New Roman"/>
          <w:color w:val="FF0000"/>
          <w:sz w:val="24"/>
          <w:szCs w:val="24"/>
        </w:rPr>
        <w:t>[</w:t>
      </w:r>
      <w:r w:rsidR="005B3FE4" w:rsidRPr="00962089">
        <w:rPr>
          <w:rFonts w:eastAsia="Times New Roman"/>
          <w:i/>
          <w:iCs/>
          <w:color w:val="FF0000"/>
          <w:sz w:val="24"/>
          <w:szCs w:val="24"/>
        </w:rPr>
        <w:t>Enter</w:t>
      </w:r>
      <w:r w:rsidRPr="00962089">
        <w:rPr>
          <w:rFonts w:eastAsia="Times New Roman"/>
          <w:i/>
          <w:iCs/>
          <w:color w:val="FF0000"/>
          <w:sz w:val="24"/>
          <w:szCs w:val="24"/>
        </w:rPr>
        <w:t xml:space="preserve"> appropriate payment address</w:t>
      </w:r>
      <w:r w:rsidRPr="00962089">
        <w:rPr>
          <w:rFonts w:eastAsia="Times New Roman"/>
          <w:color w:val="FF0000"/>
          <w:sz w:val="24"/>
          <w:szCs w:val="24"/>
        </w:rPr>
        <w:t>]</w:t>
      </w:r>
    </w:p>
    <w:p w14:paraId="72C1859D" w14:textId="77777777" w:rsidR="003532D3" w:rsidRPr="0074734E" w:rsidRDefault="003532D3" w:rsidP="003532D3">
      <w:pPr>
        <w:tabs>
          <w:tab w:val="left" w:pos="4680"/>
        </w:tabs>
        <w:spacing w:after="120" w:line="240" w:lineRule="auto"/>
        <w:rPr>
          <w:rFonts w:cs="Calibri"/>
          <w:b/>
          <w:sz w:val="24"/>
          <w:szCs w:val="24"/>
        </w:rPr>
        <w:sectPr w:rsidR="003532D3" w:rsidRPr="0074734E">
          <w:headerReference w:type="even" r:id="rId29"/>
          <w:headerReference w:type="default" r:id="rId30"/>
          <w:footerReference w:type="even" r:id="rId31"/>
          <w:footerReference w:type="default" r:id="rId32"/>
          <w:headerReference w:type="first" r:id="rId33"/>
          <w:footerReference w:type="first" r:id="rId34"/>
          <w:pgSz w:w="12240" w:h="15840"/>
          <w:pgMar w:top="1584" w:right="1296" w:bottom="1440" w:left="1296" w:header="720" w:footer="720" w:gutter="0"/>
          <w:cols w:space="720"/>
          <w:titlePg/>
          <w:docGrid w:linePitch="360"/>
        </w:sectPr>
      </w:pPr>
    </w:p>
    <w:p w14:paraId="052FC283" w14:textId="77777777" w:rsidR="003532D3" w:rsidRPr="000C1AD3" w:rsidRDefault="0097469B" w:rsidP="003532D3">
      <w:pPr>
        <w:widowControl w:val="0"/>
        <w:autoSpaceDE w:val="0"/>
        <w:autoSpaceDN w:val="0"/>
        <w:adjustRightInd w:val="0"/>
        <w:spacing w:after="120" w:line="240" w:lineRule="auto"/>
        <w:contextualSpacing/>
        <w:jc w:val="center"/>
        <w:rPr>
          <w:rFonts w:cs="Calibri"/>
          <w:b/>
          <w:sz w:val="28"/>
          <w:szCs w:val="28"/>
        </w:rPr>
      </w:pPr>
      <w:r w:rsidRPr="000C1AD3">
        <w:rPr>
          <w:rFonts w:cs="Calibri"/>
          <w:b/>
          <w:sz w:val="28"/>
          <w:szCs w:val="28"/>
        </w:rPr>
        <w:lastRenderedPageBreak/>
        <w:t>NOTICE OF UNAVAILABILITY OF COBRA COVERAGE</w:t>
      </w:r>
    </w:p>
    <w:p w14:paraId="1445D36A" w14:textId="77777777" w:rsidR="003532D3" w:rsidRPr="0074734E" w:rsidRDefault="003532D3" w:rsidP="003532D3">
      <w:pPr>
        <w:tabs>
          <w:tab w:val="left" w:pos="4680"/>
        </w:tabs>
        <w:spacing w:after="120" w:line="240" w:lineRule="auto"/>
        <w:rPr>
          <w:rFonts w:cs="Calibri"/>
          <w:b/>
          <w:sz w:val="24"/>
          <w:szCs w:val="24"/>
        </w:rPr>
      </w:pPr>
    </w:p>
    <w:p w14:paraId="55CC4959" w14:textId="77777777" w:rsidR="003532D3" w:rsidRPr="00161AD7" w:rsidRDefault="0097469B" w:rsidP="003532D3">
      <w:pPr>
        <w:widowControl w:val="0"/>
        <w:autoSpaceDE w:val="0"/>
        <w:autoSpaceDN w:val="0"/>
        <w:adjustRightInd w:val="0"/>
        <w:spacing w:after="120" w:line="240" w:lineRule="auto"/>
        <w:rPr>
          <w:rFonts w:cs="Calibri"/>
          <w:i/>
          <w:color w:val="FF0000"/>
          <w:sz w:val="24"/>
          <w:szCs w:val="24"/>
        </w:rPr>
      </w:pPr>
      <w:r w:rsidRPr="00161AD7">
        <w:rPr>
          <w:rFonts w:cs="Calibri"/>
          <w:i/>
          <w:color w:val="FF0000"/>
          <w:sz w:val="24"/>
          <w:szCs w:val="24"/>
        </w:rPr>
        <w:t xml:space="preserve">[Enter date of </w:t>
      </w:r>
      <w:r w:rsidRPr="00161AD7">
        <w:rPr>
          <w:rFonts w:cs="Calibri"/>
          <w:i/>
          <w:color w:val="FF0000"/>
          <w:sz w:val="24"/>
          <w:szCs w:val="24"/>
        </w:rPr>
        <w:t>notice]</w:t>
      </w:r>
    </w:p>
    <w:p w14:paraId="1926ABE2" w14:textId="77777777" w:rsidR="003532D3" w:rsidRPr="00161AD7" w:rsidRDefault="0097469B" w:rsidP="003532D3">
      <w:pPr>
        <w:widowControl w:val="0"/>
        <w:autoSpaceDE w:val="0"/>
        <w:autoSpaceDN w:val="0"/>
        <w:adjustRightInd w:val="0"/>
        <w:spacing w:after="120" w:line="240" w:lineRule="auto"/>
        <w:rPr>
          <w:rFonts w:cs="Calibri"/>
          <w:i/>
          <w:color w:val="FF0000"/>
          <w:sz w:val="24"/>
          <w:szCs w:val="24"/>
        </w:rPr>
      </w:pPr>
      <w:r>
        <w:rPr>
          <w:rFonts w:cs="Calibri"/>
          <w:sz w:val="24"/>
          <w:szCs w:val="24"/>
        </w:rPr>
        <w:t>To</w:t>
      </w:r>
      <w:r w:rsidRPr="00990392">
        <w:rPr>
          <w:rFonts w:cs="Calibri"/>
          <w:sz w:val="24"/>
          <w:szCs w:val="24"/>
        </w:rPr>
        <w:t xml:space="preserve">: </w:t>
      </w:r>
      <w:r w:rsidRPr="00161AD7">
        <w:rPr>
          <w:rFonts w:cs="Calibri"/>
          <w:i/>
          <w:color w:val="FF0000"/>
          <w:sz w:val="24"/>
          <w:szCs w:val="24"/>
        </w:rPr>
        <w:t>[Identify the covered employee, qualified beneficiar</w:t>
      </w:r>
      <w:r>
        <w:rPr>
          <w:rFonts w:cs="Calibri"/>
          <w:i/>
          <w:color w:val="FF0000"/>
          <w:sz w:val="24"/>
          <w:szCs w:val="24"/>
        </w:rPr>
        <w:t>y</w:t>
      </w:r>
      <w:r w:rsidRPr="00161AD7">
        <w:rPr>
          <w:rFonts w:cs="Calibri"/>
          <w:i/>
          <w:color w:val="FF0000"/>
          <w:sz w:val="24"/>
          <w:szCs w:val="24"/>
        </w:rPr>
        <w:t xml:space="preserve"> or other individual]</w:t>
      </w:r>
    </w:p>
    <w:p w14:paraId="7B9CBAB0" w14:textId="77777777" w:rsidR="003532D3" w:rsidRPr="00161AD7" w:rsidRDefault="0097469B" w:rsidP="003532D3">
      <w:pPr>
        <w:spacing w:after="120" w:line="240" w:lineRule="auto"/>
        <w:rPr>
          <w:rFonts w:cs="Calibri"/>
          <w:i/>
          <w:color w:val="FF0000"/>
          <w:sz w:val="24"/>
          <w:szCs w:val="24"/>
        </w:rPr>
      </w:pPr>
      <w:r>
        <w:rPr>
          <w:rFonts w:cs="Calibri"/>
          <w:sz w:val="24"/>
          <w:szCs w:val="24"/>
        </w:rPr>
        <w:t xml:space="preserve">From: </w:t>
      </w:r>
      <w:r w:rsidRPr="00161AD7">
        <w:rPr>
          <w:rFonts w:cs="Calibri"/>
          <w:color w:val="FF0000"/>
          <w:sz w:val="24"/>
          <w:szCs w:val="24"/>
        </w:rPr>
        <w:t>[</w:t>
      </w:r>
      <w:r w:rsidRPr="00161AD7">
        <w:rPr>
          <w:rFonts w:cs="Calibri"/>
          <w:i/>
          <w:color w:val="FF0000"/>
          <w:sz w:val="24"/>
          <w:szCs w:val="24"/>
        </w:rPr>
        <w:t>Plan Administrator]</w:t>
      </w:r>
    </w:p>
    <w:p w14:paraId="46B2FDFA" w14:textId="77777777" w:rsidR="003532D3" w:rsidRPr="00990392" w:rsidRDefault="0097469B" w:rsidP="003532D3">
      <w:pPr>
        <w:spacing w:after="120" w:line="240" w:lineRule="auto"/>
        <w:rPr>
          <w:sz w:val="24"/>
          <w:szCs w:val="24"/>
        </w:rPr>
      </w:pPr>
      <w:r w:rsidRPr="00990392">
        <w:rPr>
          <w:sz w:val="24"/>
          <w:szCs w:val="24"/>
        </w:rPr>
        <w:t xml:space="preserve">The Plan Administrator of the company’s group health plan was notified </w:t>
      </w:r>
      <w:r>
        <w:rPr>
          <w:sz w:val="24"/>
          <w:szCs w:val="24"/>
        </w:rPr>
        <w:t xml:space="preserve">on </w:t>
      </w:r>
      <w:r w:rsidRPr="00161AD7">
        <w:rPr>
          <w:color w:val="FF0000"/>
          <w:sz w:val="24"/>
          <w:szCs w:val="24"/>
        </w:rPr>
        <w:t>[</w:t>
      </w:r>
      <w:r w:rsidRPr="00161AD7">
        <w:rPr>
          <w:i/>
          <w:color w:val="FF0000"/>
          <w:sz w:val="24"/>
          <w:szCs w:val="24"/>
        </w:rPr>
        <w:t>insert date</w:t>
      </w:r>
      <w:r w:rsidRPr="00161AD7">
        <w:rPr>
          <w:color w:val="FF0000"/>
          <w:sz w:val="24"/>
          <w:szCs w:val="24"/>
        </w:rPr>
        <w:t>]</w:t>
      </w:r>
      <w:r>
        <w:rPr>
          <w:sz w:val="24"/>
          <w:szCs w:val="24"/>
        </w:rPr>
        <w:t xml:space="preserve"> </w:t>
      </w:r>
      <w:r w:rsidRPr="00990392">
        <w:rPr>
          <w:sz w:val="24"/>
          <w:szCs w:val="24"/>
        </w:rPr>
        <w:t>of the occurrence of a COBRA qualifying event, a second COBRA qualifying event or a determination of disability by the Social Security Administration regarding a covered employee, qualified beneficiary or other individual</w:t>
      </w:r>
      <w:r>
        <w:rPr>
          <w:sz w:val="24"/>
          <w:szCs w:val="24"/>
        </w:rPr>
        <w:t xml:space="preserve">. </w:t>
      </w:r>
      <w:r w:rsidRPr="00990392">
        <w:rPr>
          <w:sz w:val="24"/>
          <w:szCs w:val="24"/>
        </w:rPr>
        <w:t>However, the Plan Administrator has determined that you and your dependents, if any, are NOT ENTITLED to COBRA continuation coverage of the company’s group health benefits. Thus, your coverage under the company’s group he</w:t>
      </w:r>
      <w:r>
        <w:rPr>
          <w:sz w:val="24"/>
          <w:szCs w:val="24"/>
        </w:rPr>
        <w:t xml:space="preserve">alth benefits will terminate on </w:t>
      </w:r>
      <w:r w:rsidRPr="00161AD7">
        <w:rPr>
          <w:color w:val="FF0000"/>
          <w:sz w:val="24"/>
          <w:szCs w:val="24"/>
        </w:rPr>
        <w:t>[</w:t>
      </w:r>
      <w:r w:rsidRPr="00161AD7">
        <w:rPr>
          <w:i/>
          <w:color w:val="FF0000"/>
          <w:sz w:val="24"/>
          <w:szCs w:val="24"/>
        </w:rPr>
        <w:t>insert date</w:t>
      </w:r>
      <w:r w:rsidRPr="00161AD7">
        <w:rPr>
          <w:color w:val="FF0000"/>
          <w:sz w:val="24"/>
          <w:szCs w:val="24"/>
        </w:rPr>
        <w:t>]</w:t>
      </w:r>
      <w:r w:rsidRPr="00990392">
        <w:rPr>
          <w:sz w:val="24"/>
          <w:szCs w:val="24"/>
        </w:rPr>
        <w:t>.</w:t>
      </w:r>
    </w:p>
    <w:p w14:paraId="5BC64C64" w14:textId="77777777" w:rsidR="003532D3" w:rsidRDefault="0097469B" w:rsidP="003532D3">
      <w:pPr>
        <w:spacing w:after="120" w:line="240" w:lineRule="auto"/>
      </w:pPr>
      <w:r>
        <w:t>The reason you are not entitled to COBRA continuation coverage is as follows:</w:t>
      </w:r>
    </w:p>
    <w:p w14:paraId="616D79BC" w14:textId="77777777" w:rsidR="003532D3" w:rsidRPr="00161AD7" w:rsidRDefault="0097469B" w:rsidP="003532D3">
      <w:pPr>
        <w:spacing w:after="120" w:line="240" w:lineRule="auto"/>
        <w:rPr>
          <w:color w:val="FF0000"/>
        </w:rPr>
      </w:pPr>
      <w:r w:rsidRPr="00161AD7">
        <w:rPr>
          <w:color w:val="FF0000"/>
        </w:rPr>
        <w:t>[</w:t>
      </w:r>
      <w:r w:rsidRPr="00161AD7">
        <w:rPr>
          <w:i/>
          <w:color w:val="FF0000"/>
        </w:rPr>
        <w:t>Describe reason</w:t>
      </w:r>
      <w:r w:rsidRPr="00161AD7">
        <w:rPr>
          <w:color w:val="FF0000"/>
        </w:rPr>
        <w:t>]</w:t>
      </w:r>
    </w:p>
    <w:p w14:paraId="3FE4003B" w14:textId="77777777" w:rsidR="003532D3" w:rsidRPr="00986939" w:rsidRDefault="0097469B" w:rsidP="003532D3">
      <w:pPr>
        <w:spacing w:after="120" w:line="240" w:lineRule="auto"/>
      </w:pPr>
      <w:r>
        <w:t>If any of the individuals listed above does not reside at this same address, please immediately notify the Plan Administrator so that we may provide a copy of this notice to that individual.</w:t>
      </w:r>
    </w:p>
    <w:p w14:paraId="28E9B698" w14:textId="77777777" w:rsidR="003532D3" w:rsidRDefault="0097469B" w:rsidP="003532D3">
      <w:pPr>
        <w:spacing w:after="120" w:line="240" w:lineRule="auto"/>
        <w:rPr>
          <w:b/>
        </w:rPr>
      </w:pPr>
      <w:r>
        <w:rPr>
          <w:b/>
        </w:rPr>
        <w:t>Appeal Procedure</w:t>
      </w:r>
    </w:p>
    <w:p w14:paraId="290EB2EC" w14:textId="77777777" w:rsidR="003532D3" w:rsidRDefault="0097469B" w:rsidP="003532D3">
      <w:pPr>
        <w:spacing w:after="120" w:line="240" w:lineRule="auto"/>
      </w:pPr>
      <w:r>
        <w:t>You may appeal this decision to deny your COBRA coverage if you believe your rights to COBRA continuation coverage have been improperly denied. The procedures to appeal this decision are as follows:</w:t>
      </w:r>
    </w:p>
    <w:p w14:paraId="33F2C913" w14:textId="77777777" w:rsidR="003532D3" w:rsidRDefault="0097469B" w:rsidP="003532D3">
      <w:pPr>
        <w:spacing w:after="120" w:line="240" w:lineRule="auto"/>
        <w:rPr>
          <w:color w:val="FF0000"/>
        </w:rPr>
      </w:pPr>
      <w:r w:rsidRPr="00161AD7">
        <w:rPr>
          <w:color w:val="FF0000"/>
        </w:rPr>
        <w:t>[</w:t>
      </w:r>
      <w:r w:rsidRPr="00161AD7">
        <w:rPr>
          <w:i/>
          <w:color w:val="FF0000"/>
        </w:rPr>
        <w:t xml:space="preserve">Describe appeal </w:t>
      </w:r>
      <w:r w:rsidRPr="00161AD7">
        <w:rPr>
          <w:i/>
          <w:color w:val="FF0000"/>
        </w:rPr>
        <w:t>procedure for plan</w:t>
      </w:r>
      <w:r w:rsidRPr="00161AD7">
        <w:rPr>
          <w:color w:val="FF0000"/>
        </w:rPr>
        <w:t>.]</w:t>
      </w:r>
    </w:p>
    <w:p w14:paraId="0418A05E" w14:textId="77777777" w:rsidR="003532D3" w:rsidRDefault="0097469B" w:rsidP="003532D3">
      <w:pPr>
        <w:spacing w:after="120" w:line="240" w:lineRule="auto"/>
        <w:rPr>
          <w:b/>
        </w:rPr>
      </w:pPr>
      <w:r>
        <w:rPr>
          <w:b/>
        </w:rPr>
        <w:t>Other Coverage Options</w:t>
      </w:r>
    </w:p>
    <w:p w14:paraId="3FCCEE0C" w14:textId="77777777" w:rsidR="003532D3" w:rsidRPr="004B0F59" w:rsidRDefault="0097469B" w:rsidP="003532D3">
      <w:pPr>
        <w:spacing w:after="120" w:line="240" w:lineRule="auto"/>
      </w:pPr>
      <w:r w:rsidRPr="004B0F59">
        <w:t>You may have other coverage options available to you. For example, you may be eligible to buy an individual plan through the Health Insurance Marketplace. By enrolling in coverage through the Marketplace, you may qualify for lower costs on your monthly premiums and lower out-of-pocket costs. More information on the Marketplace is av</w:t>
      </w:r>
      <w:r>
        <w:t xml:space="preserve">ailable at: </w:t>
      </w:r>
      <w:hyperlink r:id="rId35" w:history="1">
        <w:r w:rsidRPr="00C4724A">
          <w:rPr>
            <w:rStyle w:val="Hyperlink"/>
          </w:rPr>
          <w:t>www.healthcare.gov</w:t>
        </w:r>
      </w:hyperlink>
      <w:r>
        <w:t xml:space="preserve">. </w:t>
      </w:r>
      <w:r w:rsidRPr="004B0F59">
        <w:t>Additionally, you may qualify for a 30-day special enrollment period for another group health plan for which you are eligible (such as a spouse’s plan), even if that plan generally doesn’t accept late enrollees.</w:t>
      </w:r>
    </w:p>
    <w:p w14:paraId="33D5092B" w14:textId="77777777" w:rsidR="003532D3" w:rsidRDefault="0097469B" w:rsidP="003532D3">
      <w:pPr>
        <w:spacing w:after="120" w:line="240" w:lineRule="auto"/>
        <w:rPr>
          <w:b/>
        </w:rPr>
      </w:pPr>
      <w:r>
        <w:rPr>
          <w:b/>
        </w:rPr>
        <w:t>Additional Information</w:t>
      </w:r>
    </w:p>
    <w:p w14:paraId="0ECD830D" w14:textId="77777777" w:rsidR="003532D3" w:rsidRDefault="0097469B" w:rsidP="003532D3">
      <w:pPr>
        <w:sectPr w:rsidR="003532D3">
          <w:pgSz w:w="12240" w:h="15840"/>
          <w:pgMar w:top="1584" w:right="1296" w:bottom="1440" w:left="1296" w:header="720" w:footer="720" w:gutter="0"/>
          <w:cols w:space="720"/>
          <w:titlePg/>
          <w:docGrid w:linePitch="360"/>
        </w:sectPr>
      </w:pPr>
      <w:r>
        <w:t xml:space="preserve">Please contact the Plan Administrator immediately if you have questions about this notice or your COBRA rights. The Plan Administrator can be reached at </w:t>
      </w:r>
      <w:r w:rsidRPr="00161AD7">
        <w:rPr>
          <w:color w:val="FF0000"/>
        </w:rPr>
        <w:t>[</w:t>
      </w:r>
      <w:r w:rsidRPr="00161AD7">
        <w:rPr>
          <w:i/>
          <w:color w:val="FF0000"/>
        </w:rPr>
        <w:t>insert contact information</w:t>
      </w:r>
      <w:r w:rsidRPr="00161AD7">
        <w:rPr>
          <w:color w:val="FF0000"/>
        </w:rPr>
        <w:t>]</w:t>
      </w:r>
      <w:r>
        <w:t xml:space="preserve">. </w:t>
      </w:r>
    </w:p>
    <w:p w14:paraId="7D2947AF" w14:textId="77777777" w:rsidR="003532D3" w:rsidRPr="000C1AD3" w:rsidRDefault="0097469B" w:rsidP="003532D3">
      <w:pPr>
        <w:widowControl w:val="0"/>
        <w:autoSpaceDE w:val="0"/>
        <w:autoSpaceDN w:val="0"/>
        <w:adjustRightInd w:val="0"/>
        <w:spacing w:after="120" w:line="240" w:lineRule="auto"/>
        <w:contextualSpacing/>
        <w:jc w:val="center"/>
        <w:rPr>
          <w:rFonts w:cs="Calibri"/>
          <w:b/>
          <w:sz w:val="28"/>
          <w:szCs w:val="28"/>
        </w:rPr>
      </w:pPr>
      <w:r w:rsidRPr="000C1AD3">
        <w:rPr>
          <w:rFonts w:cs="Calibri"/>
          <w:b/>
          <w:sz w:val="28"/>
          <w:szCs w:val="28"/>
        </w:rPr>
        <w:lastRenderedPageBreak/>
        <w:t xml:space="preserve">NOTICE OF EARLY TERMINATION OF COBRA COVERAGE </w:t>
      </w:r>
    </w:p>
    <w:p w14:paraId="33B00D18" w14:textId="77777777" w:rsidR="003532D3" w:rsidRDefault="003532D3" w:rsidP="003532D3">
      <w:pPr>
        <w:widowControl w:val="0"/>
        <w:autoSpaceDE w:val="0"/>
        <w:autoSpaceDN w:val="0"/>
        <w:adjustRightInd w:val="0"/>
        <w:spacing w:after="120" w:line="240" w:lineRule="auto"/>
        <w:contextualSpacing/>
        <w:rPr>
          <w:rFonts w:cs="Calibri"/>
          <w:sz w:val="24"/>
          <w:szCs w:val="24"/>
        </w:rPr>
      </w:pPr>
    </w:p>
    <w:p w14:paraId="03F329C3" w14:textId="77777777" w:rsidR="003532D3" w:rsidRPr="00161AD7" w:rsidRDefault="0097469B" w:rsidP="003532D3">
      <w:pPr>
        <w:widowControl w:val="0"/>
        <w:autoSpaceDE w:val="0"/>
        <w:autoSpaceDN w:val="0"/>
        <w:adjustRightInd w:val="0"/>
        <w:spacing w:after="120" w:line="240" w:lineRule="auto"/>
        <w:rPr>
          <w:rFonts w:cs="Calibri"/>
          <w:i/>
          <w:color w:val="FF0000"/>
          <w:sz w:val="24"/>
          <w:szCs w:val="24"/>
        </w:rPr>
      </w:pPr>
      <w:r w:rsidRPr="00161AD7">
        <w:rPr>
          <w:rFonts w:cs="Calibri"/>
          <w:i/>
          <w:color w:val="FF0000"/>
          <w:sz w:val="24"/>
          <w:szCs w:val="24"/>
        </w:rPr>
        <w:t>[Enter date of notice]</w:t>
      </w:r>
    </w:p>
    <w:p w14:paraId="2295E1BA" w14:textId="77777777" w:rsidR="003532D3" w:rsidRPr="00161AD7" w:rsidRDefault="0097469B" w:rsidP="003532D3">
      <w:pPr>
        <w:widowControl w:val="0"/>
        <w:autoSpaceDE w:val="0"/>
        <w:autoSpaceDN w:val="0"/>
        <w:adjustRightInd w:val="0"/>
        <w:spacing w:after="120" w:line="240" w:lineRule="auto"/>
        <w:rPr>
          <w:rFonts w:cs="Calibri"/>
          <w:i/>
          <w:color w:val="FF0000"/>
          <w:sz w:val="24"/>
          <w:szCs w:val="24"/>
        </w:rPr>
      </w:pPr>
      <w:r>
        <w:rPr>
          <w:rFonts w:cs="Calibri"/>
          <w:sz w:val="24"/>
          <w:szCs w:val="24"/>
        </w:rPr>
        <w:t>To</w:t>
      </w:r>
      <w:r w:rsidRPr="00990392">
        <w:rPr>
          <w:rFonts w:cs="Calibri"/>
          <w:sz w:val="24"/>
          <w:szCs w:val="24"/>
        </w:rPr>
        <w:t xml:space="preserve">: </w:t>
      </w:r>
      <w:r w:rsidRPr="00161AD7">
        <w:rPr>
          <w:rFonts w:cs="Calibri"/>
          <w:i/>
          <w:color w:val="FF0000"/>
          <w:sz w:val="24"/>
          <w:szCs w:val="24"/>
        </w:rPr>
        <w:t xml:space="preserve">[Identify the qualified </w:t>
      </w:r>
      <w:r w:rsidRPr="00161AD7">
        <w:rPr>
          <w:rFonts w:cs="Calibri"/>
          <w:i/>
          <w:color w:val="FF0000"/>
          <w:sz w:val="24"/>
          <w:szCs w:val="24"/>
        </w:rPr>
        <w:t>beneficiary]</w:t>
      </w:r>
    </w:p>
    <w:p w14:paraId="6B0165C6" w14:textId="77777777" w:rsidR="003532D3" w:rsidRPr="00161AD7" w:rsidRDefault="0097469B" w:rsidP="003532D3">
      <w:pPr>
        <w:spacing w:after="120" w:line="240" w:lineRule="auto"/>
        <w:rPr>
          <w:rFonts w:cs="Calibri"/>
          <w:i/>
          <w:color w:val="FF0000"/>
          <w:sz w:val="24"/>
          <w:szCs w:val="24"/>
        </w:rPr>
      </w:pPr>
      <w:r>
        <w:rPr>
          <w:rFonts w:cs="Calibri"/>
          <w:sz w:val="24"/>
          <w:szCs w:val="24"/>
        </w:rPr>
        <w:t xml:space="preserve">From: </w:t>
      </w:r>
      <w:r w:rsidRPr="00161AD7">
        <w:rPr>
          <w:rFonts w:cs="Calibri"/>
          <w:color w:val="FF0000"/>
          <w:sz w:val="24"/>
          <w:szCs w:val="24"/>
        </w:rPr>
        <w:t>[</w:t>
      </w:r>
      <w:r w:rsidRPr="00161AD7">
        <w:rPr>
          <w:rFonts w:cs="Calibri"/>
          <w:i/>
          <w:color w:val="FF0000"/>
          <w:sz w:val="24"/>
          <w:szCs w:val="24"/>
        </w:rPr>
        <w:t>Plan Administrator]</w:t>
      </w:r>
    </w:p>
    <w:p w14:paraId="2FAA4887" w14:textId="77777777" w:rsidR="003532D3" w:rsidRPr="008A0B4B" w:rsidRDefault="0097469B" w:rsidP="003532D3">
      <w:pPr>
        <w:spacing w:after="120" w:line="240" w:lineRule="auto"/>
        <w:rPr>
          <w:sz w:val="24"/>
          <w:szCs w:val="24"/>
        </w:rPr>
      </w:pPr>
      <w:r w:rsidRPr="008A0B4B">
        <w:rPr>
          <w:rFonts w:cs="Calibri"/>
          <w:sz w:val="24"/>
          <w:szCs w:val="24"/>
        </w:rPr>
        <w:t xml:space="preserve">Effective </w:t>
      </w:r>
      <w:r w:rsidRPr="00161AD7">
        <w:rPr>
          <w:rFonts w:cs="Calibri"/>
          <w:color w:val="FF0000"/>
          <w:sz w:val="24"/>
          <w:szCs w:val="24"/>
        </w:rPr>
        <w:t>[</w:t>
      </w:r>
      <w:r w:rsidRPr="00161AD7">
        <w:rPr>
          <w:rFonts w:cs="Calibri"/>
          <w:i/>
          <w:color w:val="FF0000"/>
          <w:sz w:val="24"/>
          <w:szCs w:val="24"/>
        </w:rPr>
        <w:t>insert date</w:t>
      </w:r>
      <w:r w:rsidRPr="00161AD7">
        <w:rPr>
          <w:rFonts w:cs="Calibri"/>
          <w:color w:val="FF0000"/>
          <w:sz w:val="24"/>
          <w:szCs w:val="24"/>
        </w:rPr>
        <w:t>]</w:t>
      </w:r>
      <w:r w:rsidRPr="008A0B4B">
        <w:rPr>
          <w:rFonts w:cs="Calibri"/>
          <w:sz w:val="24"/>
          <w:szCs w:val="24"/>
        </w:rPr>
        <w:t xml:space="preserve">, COBRA continuation coverage of your group health </w:t>
      </w:r>
      <w:r w:rsidRPr="008A0B4B">
        <w:rPr>
          <w:sz w:val="24"/>
          <w:szCs w:val="24"/>
        </w:rPr>
        <w:t xml:space="preserve">benefits will terminate. This termination is </w:t>
      </w:r>
      <w:r w:rsidRPr="008A0B4B">
        <w:rPr>
          <w:sz w:val="24"/>
          <w:szCs w:val="24"/>
          <w:u w:val="single"/>
        </w:rPr>
        <w:t>earlier</w:t>
      </w:r>
      <w:r w:rsidRPr="008A0B4B">
        <w:rPr>
          <w:sz w:val="24"/>
          <w:szCs w:val="24"/>
        </w:rPr>
        <w:t xml:space="preserve"> than the end of the maximum period of COBRA continuation coverage that applies to your original qualifying event.</w:t>
      </w:r>
    </w:p>
    <w:p w14:paraId="32AD3697" w14:textId="77777777" w:rsidR="003532D3" w:rsidRPr="008A0B4B" w:rsidRDefault="0097469B" w:rsidP="003532D3">
      <w:pPr>
        <w:spacing w:after="120" w:line="240" w:lineRule="auto"/>
        <w:rPr>
          <w:sz w:val="24"/>
          <w:szCs w:val="24"/>
        </w:rPr>
      </w:pPr>
      <w:r w:rsidRPr="008A0B4B">
        <w:rPr>
          <w:sz w:val="24"/>
          <w:szCs w:val="24"/>
        </w:rPr>
        <w:t xml:space="preserve">If any of the individuals listed above does not reside at this same address, please immediately notify the Plan Administrator so that we may provide a copy of </w:t>
      </w:r>
      <w:r>
        <w:rPr>
          <w:sz w:val="24"/>
          <w:szCs w:val="24"/>
        </w:rPr>
        <w:t>this notice to that individual.</w:t>
      </w:r>
    </w:p>
    <w:p w14:paraId="3A1406A3" w14:textId="77777777" w:rsidR="003532D3" w:rsidRDefault="0097469B" w:rsidP="003532D3">
      <w:pPr>
        <w:widowControl w:val="0"/>
        <w:autoSpaceDE w:val="0"/>
        <w:autoSpaceDN w:val="0"/>
        <w:adjustRightInd w:val="0"/>
        <w:spacing w:after="120" w:line="240" w:lineRule="auto"/>
        <w:contextualSpacing/>
        <w:rPr>
          <w:rFonts w:cs="Calibri"/>
          <w:b/>
          <w:sz w:val="24"/>
          <w:szCs w:val="24"/>
        </w:rPr>
      </w:pPr>
      <w:r>
        <w:rPr>
          <w:rFonts w:cs="Calibri"/>
          <w:b/>
          <w:sz w:val="24"/>
          <w:szCs w:val="24"/>
        </w:rPr>
        <w:t>Reason for Early Termination of COBRA Coverage</w:t>
      </w:r>
    </w:p>
    <w:p w14:paraId="2D4F7581" w14:textId="77777777" w:rsidR="003532D3" w:rsidRDefault="003532D3" w:rsidP="003532D3">
      <w:pPr>
        <w:widowControl w:val="0"/>
        <w:autoSpaceDE w:val="0"/>
        <w:autoSpaceDN w:val="0"/>
        <w:adjustRightInd w:val="0"/>
        <w:spacing w:after="120" w:line="240" w:lineRule="auto"/>
        <w:contextualSpacing/>
        <w:rPr>
          <w:rFonts w:cs="Calibri"/>
          <w:b/>
          <w:sz w:val="24"/>
          <w:szCs w:val="24"/>
        </w:rPr>
      </w:pPr>
    </w:p>
    <w:p w14:paraId="5C5BAAFB" w14:textId="77777777" w:rsidR="003532D3" w:rsidRPr="00986939" w:rsidRDefault="0097469B" w:rsidP="003532D3">
      <w:pPr>
        <w:widowControl w:val="0"/>
        <w:autoSpaceDE w:val="0"/>
        <w:autoSpaceDN w:val="0"/>
        <w:adjustRightInd w:val="0"/>
        <w:spacing w:after="120" w:line="240" w:lineRule="auto"/>
        <w:rPr>
          <w:rFonts w:cs="Calibri"/>
          <w:b/>
          <w:sz w:val="24"/>
          <w:szCs w:val="24"/>
        </w:rPr>
      </w:pPr>
      <w:r>
        <w:rPr>
          <w:rFonts w:cs="Calibri"/>
          <w:sz w:val="24"/>
          <w:szCs w:val="24"/>
        </w:rPr>
        <w:t xml:space="preserve">Your </w:t>
      </w:r>
      <w:r w:rsidRPr="00902602">
        <w:rPr>
          <w:rFonts w:cs="Calibri"/>
          <w:sz w:val="24"/>
          <w:szCs w:val="24"/>
        </w:rPr>
        <w:t>COBRA continuation coverage</w:t>
      </w:r>
      <w:r>
        <w:rPr>
          <w:rFonts w:cs="Calibri"/>
          <w:sz w:val="24"/>
          <w:szCs w:val="24"/>
        </w:rPr>
        <w:t xml:space="preserve"> is terminating before the end of the maximum coverage period due to</w:t>
      </w:r>
      <w:r w:rsidRPr="00902602">
        <w:rPr>
          <w:rFonts w:cs="Calibri"/>
          <w:sz w:val="24"/>
          <w:szCs w:val="24"/>
        </w:rPr>
        <w:t xml:space="preserve"> [</w:t>
      </w:r>
      <w:r w:rsidRPr="00AA6969">
        <w:rPr>
          <w:rFonts w:cs="Calibri"/>
          <w:i/>
          <w:sz w:val="24"/>
          <w:szCs w:val="24"/>
        </w:rPr>
        <w:t>check appropriate box</w:t>
      </w:r>
      <w:r w:rsidRPr="00902602">
        <w:rPr>
          <w:rFonts w:cs="Calibri"/>
          <w:sz w:val="24"/>
          <w:szCs w:val="24"/>
        </w:rPr>
        <w:t>]:</w:t>
      </w:r>
    </w:p>
    <w:p w14:paraId="43BB4636" w14:textId="77777777" w:rsidR="003532D3" w:rsidRDefault="0097469B" w:rsidP="003532D3">
      <w:pPr>
        <w:widowControl w:val="0"/>
        <w:numPr>
          <w:ilvl w:val="0"/>
          <w:numId w:val="16"/>
        </w:numPr>
        <w:autoSpaceDE w:val="0"/>
        <w:autoSpaceDN w:val="0"/>
        <w:adjustRightInd w:val="0"/>
        <w:spacing w:after="120" w:line="240" w:lineRule="auto"/>
        <w:rPr>
          <w:rFonts w:cs="Calibri"/>
          <w:sz w:val="24"/>
          <w:szCs w:val="24"/>
        </w:rPr>
      </w:pPr>
      <w:r>
        <w:rPr>
          <w:rFonts w:cs="Calibri"/>
          <w:sz w:val="24"/>
          <w:szCs w:val="24"/>
        </w:rPr>
        <w:t>Coverage under another group health plan that does not limit or exclude pre-existing conditions of the individual</w:t>
      </w:r>
    </w:p>
    <w:p w14:paraId="02815618" w14:textId="77777777" w:rsidR="003532D3" w:rsidRDefault="0097469B" w:rsidP="003532D3">
      <w:pPr>
        <w:widowControl w:val="0"/>
        <w:numPr>
          <w:ilvl w:val="0"/>
          <w:numId w:val="16"/>
        </w:numPr>
        <w:autoSpaceDE w:val="0"/>
        <w:autoSpaceDN w:val="0"/>
        <w:adjustRightInd w:val="0"/>
        <w:spacing w:after="120" w:line="240" w:lineRule="auto"/>
        <w:rPr>
          <w:rFonts w:cs="Calibri"/>
          <w:sz w:val="24"/>
          <w:szCs w:val="24"/>
        </w:rPr>
      </w:pPr>
      <w:r>
        <w:rPr>
          <w:rFonts w:cs="Calibri"/>
          <w:sz w:val="24"/>
          <w:szCs w:val="24"/>
        </w:rPr>
        <w:t>Failure to pay required premium on time</w:t>
      </w:r>
    </w:p>
    <w:p w14:paraId="36D08D58" w14:textId="77777777" w:rsidR="003532D3" w:rsidRDefault="0097469B" w:rsidP="003532D3">
      <w:pPr>
        <w:widowControl w:val="0"/>
        <w:numPr>
          <w:ilvl w:val="0"/>
          <w:numId w:val="16"/>
        </w:numPr>
        <w:autoSpaceDE w:val="0"/>
        <w:autoSpaceDN w:val="0"/>
        <w:adjustRightInd w:val="0"/>
        <w:spacing w:after="120" w:line="240" w:lineRule="auto"/>
        <w:rPr>
          <w:rFonts w:cs="Calibri"/>
          <w:sz w:val="24"/>
          <w:szCs w:val="24"/>
        </w:rPr>
      </w:pPr>
      <w:r>
        <w:rPr>
          <w:rFonts w:cs="Calibri"/>
          <w:sz w:val="24"/>
          <w:szCs w:val="24"/>
        </w:rPr>
        <w:t>Termination of all company group health plans</w:t>
      </w:r>
    </w:p>
    <w:p w14:paraId="79CB2C67" w14:textId="77777777" w:rsidR="003532D3" w:rsidRDefault="0097469B" w:rsidP="003532D3">
      <w:pPr>
        <w:widowControl w:val="0"/>
        <w:numPr>
          <w:ilvl w:val="0"/>
          <w:numId w:val="16"/>
        </w:numPr>
        <w:autoSpaceDE w:val="0"/>
        <w:autoSpaceDN w:val="0"/>
        <w:adjustRightInd w:val="0"/>
        <w:spacing w:after="120" w:line="240" w:lineRule="auto"/>
        <w:rPr>
          <w:rFonts w:cs="Calibri"/>
          <w:sz w:val="24"/>
          <w:szCs w:val="24"/>
        </w:rPr>
      </w:pPr>
      <w:r>
        <w:rPr>
          <w:rFonts w:cs="Calibri"/>
          <w:sz w:val="24"/>
          <w:szCs w:val="24"/>
        </w:rPr>
        <w:t>Eligibility for Medicare</w:t>
      </w:r>
    </w:p>
    <w:p w14:paraId="02736E8C" w14:textId="77777777" w:rsidR="005B62D7" w:rsidRDefault="0097469B" w:rsidP="005B62D7">
      <w:pPr>
        <w:widowControl w:val="0"/>
        <w:numPr>
          <w:ilvl w:val="0"/>
          <w:numId w:val="16"/>
        </w:numPr>
        <w:autoSpaceDE w:val="0"/>
        <w:autoSpaceDN w:val="0"/>
        <w:adjustRightInd w:val="0"/>
        <w:spacing w:after="120" w:line="240" w:lineRule="auto"/>
        <w:rPr>
          <w:rFonts w:cs="Calibri"/>
          <w:sz w:val="24"/>
          <w:szCs w:val="24"/>
        </w:rPr>
      </w:pPr>
      <w:r>
        <w:rPr>
          <w:rFonts w:cs="Calibri"/>
          <w:sz w:val="24"/>
          <w:szCs w:val="24"/>
        </w:rPr>
        <w:t>During a 29-month maximum coverage period based on disability, the Social Security Administration made a determination that the individual is no longer disabled</w:t>
      </w:r>
    </w:p>
    <w:p w14:paraId="21649F8B" w14:textId="77777777" w:rsidR="003532D3" w:rsidRPr="005B62D7" w:rsidRDefault="0097469B" w:rsidP="005B62D7">
      <w:pPr>
        <w:widowControl w:val="0"/>
        <w:numPr>
          <w:ilvl w:val="0"/>
          <w:numId w:val="16"/>
        </w:numPr>
        <w:autoSpaceDE w:val="0"/>
        <w:autoSpaceDN w:val="0"/>
        <w:adjustRightInd w:val="0"/>
        <w:spacing w:after="120" w:line="240" w:lineRule="auto"/>
        <w:rPr>
          <w:rFonts w:cs="Calibri"/>
          <w:sz w:val="24"/>
          <w:szCs w:val="24"/>
        </w:rPr>
      </w:pPr>
      <w:r w:rsidRPr="005B62D7">
        <w:rPr>
          <w:rFonts w:cs="Calibri"/>
          <w:sz w:val="24"/>
          <w:szCs w:val="24"/>
        </w:rPr>
        <w:t xml:space="preserve">Other </w:t>
      </w:r>
      <w:r w:rsidRPr="005B62D7">
        <w:rPr>
          <w:rFonts w:cs="Calibri"/>
          <w:color w:val="FF0000"/>
          <w:sz w:val="24"/>
          <w:szCs w:val="24"/>
        </w:rPr>
        <w:t>[</w:t>
      </w:r>
      <w:r w:rsidRPr="005B62D7">
        <w:rPr>
          <w:rFonts w:cs="Calibri"/>
          <w:i/>
          <w:color w:val="FF0000"/>
          <w:sz w:val="24"/>
          <w:szCs w:val="24"/>
        </w:rPr>
        <w:t>describe other event</w:t>
      </w:r>
      <w:r w:rsidRPr="005B62D7">
        <w:rPr>
          <w:rFonts w:cs="Calibri"/>
          <w:color w:val="FF0000"/>
          <w:sz w:val="24"/>
          <w:szCs w:val="24"/>
        </w:rPr>
        <w:t>]</w:t>
      </w:r>
    </w:p>
    <w:p w14:paraId="2C495132" w14:textId="77777777" w:rsidR="003532D3" w:rsidRPr="005F4771" w:rsidRDefault="0097469B" w:rsidP="003532D3">
      <w:pPr>
        <w:spacing w:after="120" w:line="240" w:lineRule="auto"/>
        <w:rPr>
          <w:rFonts w:eastAsia="Times New Roman" w:cs="Calibri"/>
          <w:b/>
          <w:sz w:val="24"/>
          <w:szCs w:val="24"/>
        </w:rPr>
      </w:pPr>
      <w:r w:rsidRPr="005F4771">
        <w:rPr>
          <w:rFonts w:eastAsia="Times New Roman" w:cs="Calibri"/>
          <w:b/>
          <w:sz w:val="24"/>
          <w:szCs w:val="24"/>
        </w:rPr>
        <w:t>Conversion Rights</w:t>
      </w:r>
    </w:p>
    <w:p w14:paraId="13BCB067" w14:textId="77777777" w:rsidR="003532D3" w:rsidRPr="008A0B4B" w:rsidRDefault="0097469B" w:rsidP="003532D3">
      <w:pPr>
        <w:spacing w:after="120" w:line="240" w:lineRule="auto"/>
        <w:rPr>
          <w:sz w:val="24"/>
          <w:szCs w:val="24"/>
        </w:rPr>
      </w:pPr>
      <w:r w:rsidRPr="005F4771">
        <w:rPr>
          <w:sz w:val="24"/>
          <w:szCs w:val="24"/>
        </w:rPr>
        <w:t xml:space="preserve">You may have the right to convert your group health benefits under COBRA to an alternative group or individual health insurance policy. The Plan Administrator can provide you eligibility information, enrollment forms and other information on your conversion rights. If you qualify for a conversion policy, you will have </w:t>
      </w:r>
      <w:r w:rsidRPr="005F4771">
        <w:rPr>
          <w:color w:val="FF0000"/>
          <w:sz w:val="24"/>
          <w:szCs w:val="24"/>
        </w:rPr>
        <w:t>[</w:t>
      </w:r>
      <w:r w:rsidRPr="005F4771">
        <w:rPr>
          <w:i/>
          <w:color w:val="FF0000"/>
          <w:sz w:val="24"/>
          <w:szCs w:val="24"/>
        </w:rPr>
        <w:t>insert number of days</w:t>
      </w:r>
      <w:r w:rsidRPr="005F4771">
        <w:rPr>
          <w:color w:val="FF0000"/>
          <w:sz w:val="24"/>
          <w:szCs w:val="24"/>
        </w:rPr>
        <w:t>]</w:t>
      </w:r>
      <w:r w:rsidRPr="005F4771">
        <w:rPr>
          <w:sz w:val="24"/>
          <w:szCs w:val="24"/>
        </w:rPr>
        <w:t xml:space="preserve"> to submit your insurance application and first premium once your COBRA coverage ends.</w:t>
      </w:r>
    </w:p>
    <w:p w14:paraId="48C80C99" w14:textId="77777777" w:rsidR="003532D3" w:rsidRPr="008A0B4B" w:rsidRDefault="0097469B" w:rsidP="003532D3">
      <w:pPr>
        <w:spacing w:after="120" w:line="240" w:lineRule="auto"/>
        <w:rPr>
          <w:b/>
          <w:sz w:val="24"/>
          <w:szCs w:val="24"/>
        </w:rPr>
      </w:pPr>
      <w:r w:rsidRPr="008A0B4B">
        <w:rPr>
          <w:b/>
          <w:sz w:val="24"/>
          <w:szCs w:val="24"/>
        </w:rPr>
        <w:t>Appeal Procedure</w:t>
      </w:r>
    </w:p>
    <w:p w14:paraId="3D9837BA" w14:textId="77777777" w:rsidR="003532D3" w:rsidRPr="008A0B4B" w:rsidRDefault="0097469B" w:rsidP="003532D3">
      <w:pPr>
        <w:spacing w:after="120" w:line="240" w:lineRule="auto"/>
        <w:rPr>
          <w:sz w:val="24"/>
          <w:szCs w:val="24"/>
        </w:rPr>
      </w:pPr>
      <w:r w:rsidRPr="008A0B4B">
        <w:rPr>
          <w:sz w:val="24"/>
          <w:szCs w:val="24"/>
        </w:rPr>
        <w:t xml:space="preserve">Please notify the Plan Administrator as soon as possible if you believe the termination date of your COBRA coverage is inaccurate. You may request a review of this decision. The procedures to appeal this decision are as follows: </w:t>
      </w:r>
      <w:r w:rsidRPr="00161AD7">
        <w:rPr>
          <w:color w:val="FF0000"/>
          <w:sz w:val="24"/>
          <w:szCs w:val="24"/>
        </w:rPr>
        <w:t>[</w:t>
      </w:r>
      <w:r w:rsidRPr="00161AD7">
        <w:rPr>
          <w:i/>
          <w:color w:val="FF0000"/>
          <w:sz w:val="24"/>
          <w:szCs w:val="24"/>
        </w:rPr>
        <w:t>Describe appeal procedure for plan</w:t>
      </w:r>
      <w:r w:rsidRPr="00161AD7">
        <w:rPr>
          <w:color w:val="FF0000"/>
          <w:sz w:val="24"/>
          <w:szCs w:val="24"/>
        </w:rPr>
        <w:t>.]</w:t>
      </w:r>
    </w:p>
    <w:p w14:paraId="139EB4DD" w14:textId="77777777" w:rsidR="003532D3" w:rsidRPr="008A0B4B" w:rsidRDefault="0097469B" w:rsidP="003532D3">
      <w:pPr>
        <w:spacing w:after="120" w:line="240" w:lineRule="auto"/>
        <w:rPr>
          <w:b/>
          <w:sz w:val="24"/>
          <w:szCs w:val="24"/>
        </w:rPr>
      </w:pPr>
      <w:r>
        <w:rPr>
          <w:b/>
          <w:sz w:val="24"/>
          <w:szCs w:val="24"/>
        </w:rPr>
        <w:t>Additional Information</w:t>
      </w:r>
    </w:p>
    <w:p w14:paraId="4A8D310A" w14:textId="77777777" w:rsidR="003532D3" w:rsidRPr="008A0B4B" w:rsidRDefault="0097469B" w:rsidP="003532D3">
      <w:pPr>
        <w:spacing w:after="120" w:line="240" w:lineRule="auto"/>
        <w:rPr>
          <w:sz w:val="24"/>
          <w:szCs w:val="24"/>
        </w:rPr>
        <w:sectPr w:rsidR="003532D3" w:rsidRPr="008A0B4B">
          <w:pgSz w:w="12240" w:h="15840"/>
          <w:pgMar w:top="1584" w:right="1296" w:bottom="1440" w:left="1296" w:header="720" w:footer="720" w:gutter="0"/>
          <w:cols w:space="720"/>
          <w:titlePg/>
          <w:docGrid w:linePitch="360"/>
        </w:sectPr>
      </w:pPr>
      <w:r w:rsidRPr="008A0B4B">
        <w:rPr>
          <w:sz w:val="24"/>
          <w:szCs w:val="24"/>
        </w:rPr>
        <w:t xml:space="preserve">Please contact the Plan Administrator immediately if you have questions about this notice or your COBRA rights. The Plan Administrator can be reached at </w:t>
      </w:r>
      <w:r w:rsidRPr="00161AD7">
        <w:rPr>
          <w:color w:val="FF0000"/>
          <w:sz w:val="24"/>
          <w:szCs w:val="24"/>
        </w:rPr>
        <w:t>[</w:t>
      </w:r>
      <w:r w:rsidRPr="00161AD7">
        <w:rPr>
          <w:i/>
          <w:color w:val="FF0000"/>
          <w:sz w:val="24"/>
          <w:szCs w:val="24"/>
        </w:rPr>
        <w:t>insert contact information</w:t>
      </w:r>
      <w:r w:rsidRPr="00161AD7">
        <w:rPr>
          <w:color w:val="FF0000"/>
          <w:sz w:val="24"/>
          <w:szCs w:val="24"/>
        </w:rPr>
        <w:t>]</w:t>
      </w:r>
      <w:r w:rsidRPr="008A0B4B">
        <w:rPr>
          <w:sz w:val="24"/>
          <w:szCs w:val="24"/>
        </w:rPr>
        <w:t>.</w:t>
      </w:r>
    </w:p>
    <w:p w14:paraId="259F33A9" w14:textId="77777777" w:rsidR="003532D3" w:rsidRPr="000C1AD3" w:rsidRDefault="0097469B" w:rsidP="003532D3">
      <w:pPr>
        <w:widowControl w:val="0"/>
        <w:autoSpaceDE w:val="0"/>
        <w:autoSpaceDN w:val="0"/>
        <w:adjustRightInd w:val="0"/>
        <w:spacing w:after="120" w:line="240" w:lineRule="auto"/>
        <w:contextualSpacing/>
        <w:jc w:val="center"/>
        <w:rPr>
          <w:rFonts w:cs="Calibri"/>
          <w:b/>
          <w:sz w:val="28"/>
          <w:szCs w:val="28"/>
        </w:rPr>
      </w:pPr>
      <w:r w:rsidRPr="000C1AD3">
        <w:rPr>
          <w:rFonts w:cs="Calibri"/>
          <w:b/>
          <w:sz w:val="28"/>
          <w:szCs w:val="28"/>
        </w:rPr>
        <w:lastRenderedPageBreak/>
        <w:t>HIPAA SPECIAL ENROLLMENT NOTICE</w:t>
      </w:r>
    </w:p>
    <w:p w14:paraId="678DAADE" w14:textId="77777777" w:rsidR="003532D3" w:rsidRPr="00B940C9" w:rsidRDefault="0097469B" w:rsidP="003532D3">
      <w:pPr>
        <w:spacing w:after="120" w:line="240" w:lineRule="auto"/>
        <w:rPr>
          <w:rFonts w:eastAsia="Arial" w:cs="Calibri"/>
          <w:sz w:val="24"/>
          <w:szCs w:val="24"/>
        </w:rPr>
      </w:pPr>
      <w:r w:rsidRPr="00B940C9">
        <w:rPr>
          <w:rFonts w:eastAsia="Arial" w:cs="Calibri"/>
          <w:sz w:val="24"/>
          <w:szCs w:val="24"/>
        </w:rPr>
        <w:t xml:space="preserve">This notice is being provided to </w:t>
      </w:r>
      <w:r>
        <w:rPr>
          <w:rFonts w:eastAsia="Arial" w:cs="Calibri"/>
          <w:sz w:val="24"/>
          <w:szCs w:val="24"/>
        </w:rPr>
        <w:t>e</w:t>
      </w:r>
      <w:r w:rsidRPr="00B940C9">
        <w:rPr>
          <w:rFonts w:eastAsia="Arial" w:cs="Calibri"/>
          <w:sz w:val="24"/>
          <w:szCs w:val="24"/>
        </w:rPr>
        <w:t>nsure that you understand your right to apply for group health insurance coverage. You should read this notice even if you plan to waive coverage at this time.</w:t>
      </w:r>
    </w:p>
    <w:p w14:paraId="40E0E3A2" w14:textId="77777777" w:rsidR="003532D3" w:rsidRPr="00B940C9" w:rsidRDefault="0097469B" w:rsidP="003532D3">
      <w:pPr>
        <w:spacing w:after="120" w:line="240" w:lineRule="auto"/>
        <w:rPr>
          <w:rFonts w:eastAsia="Times New Roman" w:cs="Calibri"/>
          <w:b/>
          <w:sz w:val="24"/>
          <w:szCs w:val="24"/>
        </w:rPr>
      </w:pPr>
      <w:r w:rsidRPr="00B940C9">
        <w:rPr>
          <w:rFonts w:eastAsia="Times New Roman" w:cs="Calibri"/>
          <w:b/>
          <w:sz w:val="24"/>
          <w:szCs w:val="24"/>
        </w:rPr>
        <w:t>Loss of Other Coverage</w:t>
      </w:r>
    </w:p>
    <w:p w14:paraId="0E89A7A7" w14:textId="77777777" w:rsidR="003532D3" w:rsidRPr="00B940C9" w:rsidRDefault="0097469B" w:rsidP="003532D3">
      <w:pPr>
        <w:spacing w:after="120" w:line="240" w:lineRule="auto"/>
        <w:rPr>
          <w:rFonts w:eastAsia="Arial" w:cs="Calibri"/>
          <w:sz w:val="24"/>
          <w:szCs w:val="24"/>
        </w:rPr>
      </w:pPr>
      <w:r w:rsidRPr="00B940C9">
        <w:rPr>
          <w:rFonts w:eastAsia="Arial" w:cs="Calibri"/>
          <w:sz w:val="24"/>
          <w:szCs w:val="24"/>
        </w:rPr>
        <w:t>If you are declining coverage for yourself or your dependents (including your spouse) because of other health insurance or group health plan coverage, you may be able to enroll yourself and your dependents in this plan if you or your dependents lose eligibility for that other coverage (or if the employer stops contributing toward your or your dependents’ other coverage). However, you must request enrollment within 30 days after your or your dependents’ other coverage ends (or after the employer stops contri</w:t>
      </w:r>
      <w:r w:rsidRPr="00B940C9">
        <w:rPr>
          <w:rFonts w:eastAsia="Arial" w:cs="Calibri"/>
          <w:sz w:val="24"/>
          <w:szCs w:val="24"/>
        </w:rPr>
        <w:t>buting toward the other coverage).</w:t>
      </w:r>
    </w:p>
    <w:p w14:paraId="51F1776D" w14:textId="77777777" w:rsidR="003532D3" w:rsidRPr="00B940C9" w:rsidRDefault="0097469B" w:rsidP="003532D3">
      <w:pPr>
        <w:pStyle w:val="BodyTextIndent"/>
        <w:spacing w:line="240" w:lineRule="auto"/>
        <w:ind w:left="0" w:right="720"/>
        <w:rPr>
          <w:rFonts w:cs="Calibri"/>
          <w:sz w:val="24"/>
          <w:szCs w:val="24"/>
        </w:rPr>
      </w:pPr>
      <w:r w:rsidRPr="00B940C9">
        <w:rPr>
          <w:rFonts w:cs="Calibri"/>
          <w:sz w:val="24"/>
          <w:szCs w:val="24"/>
          <w:u w:val="single"/>
        </w:rPr>
        <w:t>Example</w:t>
      </w:r>
      <w:r w:rsidRPr="00B940C9">
        <w:rPr>
          <w:rFonts w:cs="Calibri"/>
          <w:sz w:val="24"/>
          <w:szCs w:val="24"/>
        </w:rPr>
        <w:t xml:space="preserve">: You waived coverage because you were covered under a plan offered by your spouse's employer. Your spouse terminates his employment. If you notify your employer within 30 days of the date coverage ends, you and your eligible dependents may apply for </w:t>
      </w:r>
      <w:r>
        <w:rPr>
          <w:rFonts w:cs="Calibri"/>
          <w:sz w:val="24"/>
          <w:szCs w:val="24"/>
        </w:rPr>
        <w:t>coverage under our health plan.</w:t>
      </w:r>
    </w:p>
    <w:p w14:paraId="377F6E8F" w14:textId="77777777" w:rsidR="003532D3" w:rsidRPr="00B940C9" w:rsidRDefault="0097469B" w:rsidP="003532D3">
      <w:pPr>
        <w:pStyle w:val="BodyTextIndent"/>
        <w:spacing w:line="240" w:lineRule="auto"/>
        <w:ind w:left="0" w:right="720"/>
        <w:rPr>
          <w:rFonts w:cs="Calibri"/>
          <w:b/>
          <w:sz w:val="24"/>
          <w:szCs w:val="24"/>
        </w:rPr>
      </w:pPr>
      <w:r w:rsidRPr="00B940C9">
        <w:rPr>
          <w:rFonts w:cs="Calibri"/>
          <w:b/>
          <w:sz w:val="24"/>
          <w:szCs w:val="24"/>
        </w:rPr>
        <w:t>Marriage, Birth or Adoption</w:t>
      </w:r>
    </w:p>
    <w:p w14:paraId="2EC1353F" w14:textId="77777777" w:rsidR="003532D3" w:rsidRPr="00B940C9" w:rsidRDefault="0097469B" w:rsidP="003532D3">
      <w:pPr>
        <w:spacing w:after="120" w:line="240" w:lineRule="auto"/>
        <w:rPr>
          <w:rFonts w:eastAsia="Arial" w:cs="Calibri"/>
          <w:sz w:val="24"/>
          <w:szCs w:val="24"/>
        </w:rPr>
      </w:pPr>
      <w:r w:rsidRPr="00B940C9">
        <w:rPr>
          <w:rFonts w:eastAsia="Arial" w:cs="Calibri"/>
          <w:sz w:val="24"/>
          <w:szCs w:val="24"/>
        </w:rPr>
        <w:t>If you have a new dependent as a result of a marriage, birth, adoption or placement for adoption, you may be able to enroll yourself and your dependents. However, you must request enrollment within 30 days after the marriage, birth or placement for adoption.</w:t>
      </w:r>
    </w:p>
    <w:p w14:paraId="45248ECC" w14:textId="77777777" w:rsidR="003532D3" w:rsidRPr="00B940C9" w:rsidRDefault="0097469B" w:rsidP="003532D3">
      <w:pPr>
        <w:spacing w:after="120" w:line="240" w:lineRule="auto"/>
        <w:rPr>
          <w:rFonts w:cs="Calibri"/>
          <w:sz w:val="24"/>
          <w:szCs w:val="24"/>
        </w:rPr>
      </w:pPr>
      <w:r w:rsidRPr="00B940C9">
        <w:rPr>
          <w:rFonts w:cs="Calibri"/>
          <w:sz w:val="24"/>
          <w:szCs w:val="24"/>
          <w:u w:val="single"/>
        </w:rPr>
        <w:t>Example</w:t>
      </w:r>
      <w:r w:rsidRPr="00B940C9">
        <w:rPr>
          <w:rFonts w:cs="Calibri"/>
          <w:sz w:val="24"/>
          <w:szCs w:val="24"/>
        </w:rPr>
        <w:t>: When you were hired by us, you were single and chose not to elect health insurance benefits. One year later, you marry. You and your eligible dependents are entitled to enroll in this group health plan. However, you must apply within 30 days from the date of your marriage.</w:t>
      </w:r>
    </w:p>
    <w:p w14:paraId="26870AF1" w14:textId="77777777" w:rsidR="003532D3" w:rsidRPr="00B940C9" w:rsidRDefault="0097469B" w:rsidP="003532D3">
      <w:pPr>
        <w:spacing w:after="120" w:line="240" w:lineRule="auto"/>
        <w:rPr>
          <w:rFonts w:cs="Calibri"/>
          <w:b/>
          <w:sz w:val="24"/>
          <w:szCs w:val="24"/>
        </w:rPr>
      </w:pPr>
      <w:r w:rsidRPr="00B940C9">
        <w:rPr>
          <w:rFonts w:cs="Calibri"/>
          <w:b/>
          <w:sz w:val="24"/>
          <w:szCs w:val="24"/>
        </w:rPr>
        <w:t>Medicaid or CHIP</w:t>
      </w:r>
    </w:p>
    <w:p w14:paraId="25BB896F" w14:textId="77777777" w:rsidR="003532D3" w:rsidRPr="00B940C9" w:rsidRDefault="0097469B" w:rsidP="003532D3">
      <w:pPr>
        <w:spacing w:after="120" w:line="240" w:lineRule="auto"/>
        <w:rPr>
          <w:sz w:val="24"/>
          <w:szCs w:val="24"/>
        </w:rPr>
      </w:pPr>
      <w:r w:rsidRPr="00B940C9">
        <w:rPr>
          <w:sz w:val="24"/>
          <w:szCs w:val="24"/>
        </w:rPr>
        <w:t>If you or your dependents lose eligibility for coverage under Medicaid or the</w:t>
      </w:r>
      <w:r w:rsidRPr="00B940C9">
        <w:rPr>
          <w:rFonts w:ascii="Verdana" w:hAnsi="Verdana"/>
          <w:b/>
          <w:sz w:val="24"/>
          <w:szCs w:val="24"/>
        </w:rPr>
        <w:t xml:space="preserve"> </w:t>
      </w:r>
      <w:r w:rsidRPr="00B940C9">
        <w:rPr>
          <w:sz w:val="24"/>
          <w:szCs w:val="24"/>
        </w:rPr>
        <w:t>Children’s Health Insurance Program (CHIP) or become eligible for a premium assistance subsidy under Medicaid or CHIP, you may be able to enroll yourself and your dependents. You must request enrollment within 60 days of the loss of Medicaid or CHIP coverage or the determination of eligibility for</w:t>
      </w:r>
      <w:r>
        <w:rPr>
          <w:sz w:val="24"/>
          <w:szCs w:val="24"/>
        </w:rPr>
        <w:t xml:space="preserve"> a premium assistance subsidy.</w:t>
      </w:r>
    </w:p>
    <w:p w14:paraId="26941E8C" w14:textId="77777777" w:rsidR="003532D3" w:rsidRPr="00B940C9" w:rsidRDefault="0097469B" w:rsidP="003532D3">
      <w:pPr>
        <w:spacing w:after="120" w:line="240" w:lineRule="auto"/>
        <w:rPr>
          <w:sz w:val="24"/>
          <w:szCs w:val="24"/>
        </w:rPr>
      </w:pPr>
      <w:r w:rsidRPr="00B940C9">
        <w:rPr>
          <w:sz w:val="24"/>
          <w:szCs w:val="24"/>
          <w:u w:val="single"/>
        </w:rPr>
        <w:t>Example</w:t>
      </w:r>
      <w:r w:rsidRPr="00B940C9">
        <w:rPr>
          <w:sz w:val="24"/>
          <w:szCs w:val="24"/>
        </w:rPr>
        <w:t>: When you were hired by us, your children received health coverage under CHIP and you did not enroll them in our health plan. Because of changes in your income, your children are no longer eligible for CHIP coverage. You may enroll them in this group health plan if you apply within 60 days of the date o</w:t>
      </w:r>
      <w:r>
        <w:rPr>
          <w:sz w:val="24"/>
          <w:szCs w:val="24"/>
        </w:rPr>
        <w:t>f their loss of CHIP coverage.</w:t>
      </w:r>
    </w:p>
    <w:p w14:paraId="1B64B5AE" w14:textId="77777777" w:rsidR="003532D3" w:rsidRPr="00B940C9" w:rsidRDefault="0097469B" w:rsidP="003532D3">
      <w:pPr>
        <w:spacing w:after="120" w:line="240" w:lineRule="auto"/>
        <w:rPr>
          <w:rFonts w:eastAsia="Times New Roman" w:cs="Calibri"/>
          <w:b/>
          <w:sz w:val="24"/>
          <w:szCs w:val="24"/>
        </w:rPr>
      </w:pPr>
      <w:r w:rsidRPr="00B940C9">
        <w:rPr>
          <w:rFonts w:eastAsia="Times New Roman" w:cs="Calibri"/>
          <w:b/>
          <w:sz w:val="24"/>
          <w:szCs w:val="24"/>
        </w:rPr>
        <w:t>For More Information or Assistance</w:t>
      </w:r>
    </w:p>
    <w:p w14:paraId="019A9F5E" w14:textId="77777777" w:rsidR="003532D3" w:rsidRPr="00B940C9" w:rsidRDefault="0097469B" w:rsidP="003532D3">
      <w:pPr>
        <w:spacing w:after="120" w:line="240" w:lineRule="auto"/>
        <w:rPr>
          <w:sz w:val="24"/>
          <w:szCs w:val="24"/>
        </w:rPr>
      </w:pPr>
      <w:r w:rsidRPr="00B940C9">
        <w:rPr>
          <w:sz w:val="24"/>
          <w:szCs w:val="24"/>
        </w:rPr>
        <w:t xml:space="preserve">To request special enrollment or obtain more information, please contact </w:t>
      </w:r>
      <w:r w:rsidRPr="00161AD7">
        <w:rPr>
          <w:color w:val="FF0000"/>
          <w:sz w:val="24"/>
          <w:szCs w:val="24"/>
        </w:rPr>
        <w:t>[</w:t>
      </w:r>
      <w:r w:rsidRPr="00161AD7">
        <w:rPr>
          <w:i/>
          <w:color w:val="FF0000"/>
          <w:sz w:val="24"/>
          <w:szCs w:val="24"/>
        </w:rPr>
        <w:t>insert contact information</w:t>
      </w:r>
      <w:r w:rsidRPr="00161AD7">
        <w:rPr>
          <w:color w:val="FF0000"/>
          <w:sz w:val="24"/>
          <w:szCs w:val="24"/>
        </w:rPr>
        <w:t>]</w:t>
      </w:r>
      <w:r>
        <w:rPr>
          <w:color w:val="FF0000"/>
          <w:sz w:val="24"/>
          <w:szCs w:val="24"/>
        </w:rPr>
        <w:t>.</w:t>
      </w:r>
    </w:p>
    <w:p w14:paraId="23E093BF" w14:textId="77777777" w:rsidR="003532D3" w:rsidRPr="0074734E" w:rsidRDefault="003532D3" w:rsidP="003532D3">
      <w:pPr>
        <w:spacing w:after="120" w:line="240" w:lineRule="auto"/>
        <w:rPr>
          <w:rFonts w:cs="Calibri"/>
          <w:sz w:val="24"/>
          <w:szCs w:val="24"/>
        </w:rPr>
      </w:pPr>
    </w:p>
    <w:sectPr w:rsidR="003532D3" w:rsidRPr="0074734E">
      <w:pgSz w:w="12240" w:h="15840"/>
      <w:pgMar w:top="1584" w:right="1296" w:bottom="1440"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112AD" w14:textId="77777777" w:rsidR="0097469B" w:rsidRDefault="0097469B">
      <w:pPr>
        <w:spacing w:after="0" w:line="240" w:lineRule="auto"/>
      </w:pPr>
      <w:r>
        <w:separator/>
      </w:r>
    </w:p>
  </w:endnote>
  <w:endnote w:type="continuationSeparator" w:id="0">
    <w:p w14:paraId="76CDAC49" w14:textId="77777777" w:rsidR="0097469B" w:rsidRDefault="00974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g Sans Medium">
    <w:altName w:val="Arial"/>
    <w:panose1 w:val="00000000000000000000"/>
    <w:charset w:val="00"/>
    <w:family w:val="swiss"/>
    <w:notTrueType/>
    <w:pitch w:val="variable"/>
    <w:sig w:usb0="00000001" w:usb1="00000000" w:usb2="00000000" w:usb3="00000000" w:csb0="0000009B"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24668" w14:textId="77777777" w:rsidR="005F4771" w:rsidRDefault="0097469B">
    <w:pPr>
      <w:pStyle w:val="Footer"/>
      <w:jc w:val="right"/>
    </w:pPr>
    <w:r>
      <w:fldChar w:fldCharType="begin"/>
    </w:r>
    <w:r>
      <w:instrText xml:space="preserve"> PAGE   \* MERGEFORMAT </w:instrText>
    </w:r>
    <w:r>
      <w:fldChar w:fldCharType="separate"/>
    </w:r>
    <w:r>
      <w:rPr>
        <w:noProof/>
      </w:rPr>
      <w:t>12</w:t>
    </w:r>
    <w:r>
      <w:rPr>
        <w:noProof/>
      </w:rPr>
      <w:fldChar w:fldCharType="end"/>
    </w:r>
  </w:p>
  <w:p w14:paraId="2003DE5F" w14:textId="77777777" w:rsidR="005F4771" w:rsidRDefault="005F477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F5E52" w14:textId="77777777" w:rsidR="005F4771" w:rsidRDefault="005F477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ADF1B" w14:textId="77777777" w:rsidR="005F4771" w:rsidRDefault="009746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320DCF19" w14:textId="77777777" w:rsidR="005F4771" w:rsidRDefault="005F47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B87E" w14:textId="77777777" w:rsidR="005F4771" w:rsidRDefault="005F47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FABCA" w14:textId="77777777" w:rsidR="005F4771" w:rsidRDefault="005F47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4DB9C3" w14:textId="77777777" w:rsidR="0097469B" w:rsidRDefault="0097469B">
      <w:pPr>
        <w:spacing w:after="0" w:line="240" w:lineRule="auto"/>
      </w:pPr>
      <w:r>
        <w:separator/>
      </w:r>
    </w:p>
  </w:footnote>
  <w:footnote w:type="continuationSeparator" w:id="0">
    <w:p w14:paraId="6384F89B" w14:textId="77777777" w:rsidR="0097469B" w:rsidRDefault="00974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EC32" w14:textId="77777777" w:rsidR="005F4771" w:rsidRDefault="005F4771" w:rsidP="003532D3">
    <w:pPr>
      <w:pStyle w:val="Header"/>
      <w:rPr>
        <w:b/>
        <w:sz w:val="36"/>
        <w:szCs w:val="36"/>
      </w:rPr>
    </w:pPr>
  </w:p>
  <w:p w14:paraId="34903E7D" w14:textId="77777777" w:rsidR="005F4771" w:rsidRDefault="005F47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D14A0" w14:textId="77777777" w:rsidR="005F4771" w:rsidRDefault="0097469B">
    <w:pPr>
      <w:pStyle w:val="Header"/>
    </w:pPr>
    <w:r>
      <w:rPr>
        <w:noProof/>
      </w:rPr>
      <w:drawing>
        <wp:anchor distT="0" distB="0" distL="114300" distR="114300" simplePos="0" relativeHeight="251658240" behindDoc="1" locked="0" layoutInCell="1" allowOverlap="1" wp14:anchorId="0EE61F9E" wp14:editId="2D57B9D4">
          <wp:simplePos x="0" y="0"/>
          <wp:positionH relativeFrom="column">
            <wp:posOffset>-910590</wp:posOffset>
          </wp:positionH>
          <wp:positionV relativeFrom="paragraph">
            <wp:posOffset>-466725</wp:posOffset>
          </wp:positionV>
          <wp:extent cx="7781290" cy="10079355"/>
          <wp:effectExtent l="0" t="0" r="0" b="0"/>
          <wp:wrapNone/>
          <wp:docPr id="1" name="Picture 1" descr="DOL tool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L toolki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290" cy="100793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A031" w14:textId="77777777" w:rsidR="005F4771" w:rsidRPr="00A84556" w:rsidRDefault="005F4771" w:rsidP="003532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F4767" w14:textId="77777777" w:rsidR="005F4771" w:rsidRDefault="005F47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981C" w14:textId="77777777" w:rsidR="005F4771" w:rsidRDefault="005F477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2765" w14:textId="77777777" w:rsidR="005F4771" w:rsidRDefault="005F47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301_"/>
      </v:shape>
    </w:pict>
  </w:numPicBullet>
  <w:abstractNum w:abstractNumId="0" w15:restartNumberingAfterBreak="0">
    <w:nsid w:val="01F67A51"/>
    <w:multiLevelType w:val="hybridMultilevel"/>
    <w:tmpl w:val="8BA82BD6"/>
    <w:lvl w:ilvl="0" w:tplc="AE580A9A">
      <w:start w:val="1"/>
      <w:numFmt w:val="bullet"/>
      <w:lvlText w:val=""/>
      <w:lvlJc w:val="left"/>
      <w:pPr>
        <w:ind w:left="720" w:hanging="360"/>
      </w:pPr>
      <w:rPr>
        <w:rFonts w:ascii="Wingdings" w:hAnsi="Wingdings" w:hint="default"/>
        <w:b w:val="0"/>
        <w:i w:val="0"/>
        <w:sz w:val="28"/>
        <w:u w:color="C00000"/>
      </w:rPr>
    </w:lvl>
    <w:lvl w:ilvl="1" w:tplc="154C51F8">
      <w:start w:val="1"/>
      <w:numFmt w:val="bullet"/>
      <w:lvlText w:val="o"/>
      <w:lvlJc w:val="left"/>
      <w:pPr>
        <w:ind w:left="1440" w:hanging="360"/>
      </w:pPr>
      <w:rPr>
        <w:rFonts w:ascii="Courier New" w:hAnsi="Courier New" w:cs="Courier New" w:hint="default"/>
      </w:rPr>
    </w:lvl>
    <w:lvl w:ilvl="2" w:tplc="F06E446C" w:tentative="1">
      <w:start w:val="1"/>
      <w:numFmt w:val="bullet"/>
      <w:lvlText w:val=""/>
      <w:lvlJc w:val="left"/>
      <w:pPr>
        <w:ind w:left="2160" w:hanging="360"/>
      </w:pPr>
      <w:rPr>
        <w:rFonts w:ascii="Wingdings" w:hAnsi="Wingdings" w:hint="default"/>
      </w:rPr>
    </w:lvl>
    <w:lvl w:ilvl="3" w:tplc="427ABDF8" w:tentative="1">
      <w:start w:val="1"/>
      <w:numFmt w:val="bullet"/>
      <w:lvlText w:val=""/>
      <w:lvlJc w:val="left"/>
      <w:pPr>
        <w:ind w:left="2880" w:hanging="360"/>
      </w:pPr>
      <w:rPr>
        <w:rFonts w:ascii="Symbol" w:hAnsi="Symbol" w:hint="default"/>
      </w:rPr>
    </w:lvl>
    <w:lvl w:ilvl="4" w:tplc="529C9C4E" w:tentative="1">
      <w:start w:val="1"/>
      <w:numFmt w:val="bullet"/>
      <w:lvlText w:val="o"/>
      <w:lvlJc w:val="left"/>
      <w:pPr>
        <w:ind w:left="3600" w:hanging="360"/>
      </w:pPr>
      <w:rPr>
        <w:rFonts w:ascii="Courier New" w:hAnsi="Courier New" w:cs="Courier New" w:hint="default"/>
      </w:rPr>
    </w:lvl>
    <w:lvl w:ilvl="5" w:tplc="D34EFC3A" w:tentative="1">
      <w:start w:val="1"/>
      <w:numFmt w:val="bullet"/>
      <w:lvlText w:val=""/>
      <w:lvlJc w:val="left"/>
      <w:pPr>
        <w:ind w:left="4320" w:hanging="360"/>
      </w:pPr>
      <w:rPr>
        <w:rFonts w:ascii="Wingdings" w:hAnsi="Wingdings" w:hint="default"/>
      </w:rPr>
    </w:lvl>
    <w:lvl w:ilvl="6" w:tplc="F4284B72" w:tentative="1">
      <w:start w:val="1"/>
      <w:numFmt w:val="bullet"/>
      <w:lvlText w:val=""/>
      <w:lvlJc w:val="left"/>
      <w:pPr>
        <w:ind w:left="5040" w:hanging="360"/>
      </w:pPr>
      <w:rPr>
        <w:rFonts w:ascii="Symbol" w:hAnsi="Symbol" w:hint="default"/>
      </w:rPr>
    </w:lvl>
    <w:lvl w:ilvl="7" w:tplc="DEB8CE34" w:tentative="1">
      <w:start w:val="1"/>
      <w:numFmt w:val="bullet"/>
      <w:lvlText w:val="o"/>
      <w:lvlJc w:val="left"/>
      <w:pPr>
        <w:ind w:left="5760" w:hanging="360"/>
      </w:pPr>
      <w:rPr>
        <w:rFonts w:ascii="Courier New" w:hAnsi="Courier New" w:cs="Courier New" w:hint="default"/>
      </w:rPr>
    </w:lvl>
    <w:lvl w:ilvl="8" w:tplc="1F4ACD66" w:tentative="1">
      <w:start w:val="1"/>
      <w:numFmt w:val="bullet"/>
      <w:lvlText w:val=""/>
      <w:lvlJc w:val="left"/>
      <w:pPr>
        <w:ind w:left="6480" w:hanging="360"/>
      </w:pPr>
      <w:rPr>
        <w:rFonts w:ascii="Wingdings" w:hAnsi="Wingdings" w:hint="default"/>
      </w:rPr>
    </w:lvl>
  </w:abstractNum>
  <w:abstractNum w:abstractNumId="1" w15:restartNumberingAfterBreak="0">
    <w:nsid w:val="042831F2"/>
    <w:multiLevelType w:val="hybridMultilevel"/>
    <w:tmpl w:val="A8D69326"/>
    <w:lvl w:ilvl="0" w:tplc="04847C96">
      <w:start w:val="1"/>
      <w:numFmt w:val="bullet"/>
      <w:lvlText w:val=""/>
      <w:lvlJc w:val="left"/>
      <w:pPr>
        <w:ind w:left="720" w:hanging="360"/>
      </w:pPr>
      <w:rPr>
        <w:rFonts w:ascii="Symbol" w:hAnsi="Symbol" w:hint="default"/>
      </w:rPr>
    </w:lvl>
    <w:lvl w:ilvl="1" w:tplc="098A3212">
      <w:start w:val="1"/>
      <w:numFmt w:val="bullet"/>
      <w:lvlText w:val="o"/>
      <w:lvlJc w:val="left"/>
      <w:pPr>
        <w:ind w:left="1440" w:hanging="360"/>
      </w:pPr>
      <w:rPr>
        <w:rFonts w:ascii="Courier New" w:hAnsi="Courier New" w:cs="Courier New" w:hint="default"/>
      </w:rPr>
    </w:lvl>
    <w:lvl w:ilvl="2" w:tplc="6CDCA238">
      <w:start w:val="1"/>
      <w:numFmt w:val="bullet"/>
      <w:lvlText w:val=""/>
      <w:lvlJc w:val="left"/>
      <w:pPr>
        <w:ind w:left="2160" w:hanging="360"/>
      </w:pPr>
      <w:rPr>
        <w:rFonts w:ascii="Wingdings" w:hAnsi="Wingdings" w:hint="default"/>
      </w:rPr>
    </w:lvl>
    <w:lvl w:ilvl="3" w:tplc="E2206D22">
      <w:start w:val="1"/>
      <w:numFmt w:val="bullet"/>
      <w:lvlText w:val=""/>
      <w:lvlJc w:val="left"/>
      <w:pPr>
        <w:ind w:left="2880" w:hanging="360"/>
      </w:pPr>
      <w:rPr>
        <w:rFonts w:ascii="Symbol" w:hAnsi="Symbol" w:hint="default"/>
      </w:rPr>
    </w:lvl>
    <w:lvl w:ilvl="4" w:tplc="405098FA">
      <w:start w:val="1"/>
      <w:numFmt w:val="bullet"/>
      <w:lvlText w:val="o"/>
      <w:lvlJc w:val="left"/>
      <w:pPr>
        <w:ind w:left="3600" w:hanging="360"/>
      </w:pPr>
      <w:rPr>
        <w:rFonts w:ascii="Courier New" w:hAnsi="Courier New" w:cs="Courier New" w:hint="default"/>
      </w:rPr>
    </w:lvl>
    <w:lvl w:ilvl="5" w:tplc="5B2C2A9A">
      <w:start w:val="1"/>
      <w:numFmt w:val="bullet"/>
      <w:lvlText w:val=""/>
      <w:lvlJc w:val="left"/>
      <w:pPr>
        <w:ind w:left="4320" w:hanging="360"/>
      </w:pPr>
      <w:rPr>
        <w:rFonts w:ascii="Wingdings" w:hAnsi="Wingdings" w:hint="default"/>
      </w:rPr>
    </w:lvl>
    <w:lvl w:ilvl="6" w:tplc="9BB05CBE">
      <w:start w:val="1"/>
      <w:numFmt w:val="bullet"/>
      <w:lvlText w:val=""/>
      <w:lvlJc w:val="left"/>
      <w:pPr>
        <w:ind w:left="5040" w:hanging="360"/>
      </w:pPr>
      <w:rPr>
        <w:rFonts w:ascii="Symbol" w:hAnsi="Symbol" w:hint="default"/>
      </w:rPr>
    </w:lvl>
    <w:lvl w:ilvl="7" w:tplc="79484EFA">
      <w:start w:val="1"/>
      <w:numFmt w:val="bullet"/>
      <w:lvlText w:val="o"/>
      <w:lvlJc w:val="left"/>
      <w:pPr>
        <w:ind w:left="5760" w:hanging="360"/>
      </w:pPr>
      <w:rPr>
        <w:rFonts w:ascii="Courier New" w:hAnsi="Courier New" w:cs="Courier New" w:hint="default"/>
      </w:rPr>
    </w:lvl>
    <w:lvl w:ilvl="8" w:tplc="2188CBAA">
      <w:start w:val="1"/>
      <w:numFmt w:val="bullet"/>
      <w:lvlText w:val=""/>
      <w:lvlJc w:val="left"/>
      <w:pPr>
        <w:ind w:left="6480" w:hanging="360"/>
      </w:pPr>
      <w:rPr>
        <w:rFonts w:ascii="Wingdings" w:hAnsi="Wingdings" w:hint="default"/>
      </w:rPr>
    </w:lvl>
  </w:abstractNum>
  <w:abstractNum w:abstractNumId="2" w15:restartNumberingAfterBreak="0">
    <w:nsid w:val="058F684E"/>
    <w:multiLevelType w:val="hybridMultilevel"/>
    <w:tmpl w:val="65B2D52A"/>
    <w:lvl w:ilvl="0" w:tplc="1AFA5FAC">
      <w:start w:val="1"/>
      <w:numFmt w:val="bullet"/>
      <w:lvlText w:val=""/>
      <w:lvlJc w:val="left"/>
      <w:pPr>
        <w:ind w:left="720" w:hanging="360"/>
      </w:pPr>
      <w:rPr>
        <w:rFonts w:ascii="Symbol" w:hAnsi="Symbol" w:hint="default"/>
      </w:rPr>
    </w:lvl>
    <w:lvl w:ilvl="1" w:tplc="C8061588" w:tentative="1">
      <w:start w:val="1"/>
      <w:numFmt w:val="bullet"/>
      <w:lvlText w:val="o"/>
      <w:lvlJc w:val="left"/>
      <w:pPr>
        <w:ind w:left="1440" w:hanging="360"/>
      </w:pPr>
      <w:rPr>
        <w:rFonts w:ascii="Courier New" w:hAnsi="Courier New" w:cs="Courier New" w:hint="default"/>
      </w:rPr>
    </w:lvl>
    <w:lvl w:ilvl="2" w:tplc="670827A0" w:tentative="1">
      <w:start w:val="1"/>
      <w:numFmt w:val="bullet"/>
      <w:lvlText w:val=""/>
      <w:lvlJc w:val="left"/>
      <w:pPr>
        <w:ind w:left="2160" w:hanging="360"/>
      </w:pPr>
      <w:rPr>
        <w:rFonts w:ascii="Wingdings" w:hAnsi="Wingdings" w:hint="default"/>
      </w:rPr>
    </w:lvl>
    <w:lvl w:ilvl="3" w:tplc="7C30CD2C" w:tentative="1">
      <w:start w:val="1"/>
      <w:numFmt w:val="bullet"/>
      <w:lvlText w:val=""/>
      <w:lvlJc w:val="left"/>
      <w:pPr>
        <w:ind w:left="2880" w:hanging="360"/>
      </w:pPr>
      <w:rPr>
        <w:rFonts w:ascii="Symbol" w:hAnsi="Symbol" w:hint="default"/>
      </w:rPr>
    </w:lvl>
    <w:lvl w:ilvl="4" w:tplc="B05A04A6" w:tentative="1">
      <w:start w:val="1"/>
      <w:numFmt w:val="bullet"/>
      <w:lvlText w:val="o"/>
      <w:lvlJc w:val="left"/>
      <w:pPr>
        <w:ind w:left="3600" w:hanging="360"/>
      </w:pPr>
      <w:rPr>
        <w:rFonts w:ascii="Courier New" w:hAnsi="Courier New" w:cs="Courier New" w:hint="default"/>
      </w:rPr>
    </w:lvl>
    <w:lvl w:ilvl="5" w:tplc="CBAAC942" w:tentative="1">
      <w:start w:val="1"/>
      <w:numFmt w:val="bullet"/>
      <w:lvlText w:val=""/>
      <w:lvlJc w:val="left"/>
      <w:pPr>
        <w:ind w:left="4320" w:hanging="360"/>
      </w:pPr>
      <w:rPr>
        <w:rFonts w:ascii="Wingdings" w:hAnsi="Wingdings" w:hint="default"/>
      </w:rPr>
    </w:lvl>
    <w:lvl w:ilvl="6" w:tplc="99143146" w:tentative="1">
      <w:start w:val="1"/>
      <w:numFmt w:val="bullet"/>
      <w:lvlText w:val=""/>
      <w:lvlJc w:val="left"/>
      <w:pPr>
        <w:ind w:left="5040" w:hanging="360"/>
      </w:pPr>
      <w:rPr>
        <w:rFonts w:ascii="Symbol" w:hAnsi="Symbol" w:hint="default"/>
      </w:rPr>
    </w:lvl>
    <w:lvl w:ilvl="7" w:tplc="BC5EF4CC" w:tentative="1">
      <w:start w:val="1"/>
      <w:numFmt w:val="bullet"/>
      <w:lvlText w:val="o"/>
      <w:lvlJc w:val="left"/>
      <w:pPr>
        <w:ind w:left="5760" w:hanging="360"/>
      </w:pPr>
      <w:rPr>
        <w:rFonts w:ascii="Courier New" w:hAnsi="Courier New" w:cs="Courier New" w:hint="default"/>
      </w:rPr>
    </w:lvl>
    <w:lvl w:ilvl="8" w:tplc="DFE0339A" w:tentative="1">
      <w:start w:val="1"/>
      <w:numFmt w:val="bullet"/>
      <w:lvlText w:val=""/>
      <w:lvlJc w:val="left"/>
      <w:pPr>
        <w:ind w:left="6480" w:hanging="360"/>
      </w:pPr>
      <w:rPr>
        <w:rFonts w:ascii="Wingdings" w:hAnsi="Wingdings" w:hint="default"/>
      </w:rPr>
    </w:lvl>
  </w:abstractNum>
  <w:abstractNum w:abstractNumId="3" w15:restartNumberingAfterBreak="0">
    <w:nsid w:val="09D841A1"/>
    <w:multiLevelType w:val="hybridMultilevel"/>
    <w:tmpl w:val="FAB23FF6"/>
    <w:lvl w:ilvl="0" w:tplc="D1FEB9C8">
      <w:start w:val="1"/>
      <w:numFmt w:val="bullet"/>
      <w:lvlText w:val=""/>
      <w:lvlJc w:val="left"/>
      <w:pPr>
        <w:ind w:left="2160" w:hanging="360"/>
      </w:pPr>
      <w:rPr>
        <w:rFonts w:ascii="Symbol" w:hAnsi="Symbol" w:hint="default"/>
      </w:rPr>
    </w:lvl>
    <w:lvl w:ilvl="1" w:tplc="A3D46D6C" w:tentative="1">
      <w:start w:val="1"/>
      <w:numFmt w:val="bullet"/>
      <w:lvlText w:val="o"/>
      <w:lvlJc w:val="left"/>
      <w:pPr>
        <w:ind w:left="2880" w:hanging="360"/>
      </w:pPr>
      <w:rPr>
        <w:rFonts w:ascii="Courier New" w:hAnsi="Courier New" w:cs="Courier New" w:hint="default"/>
      </w:rPr>
    </w:lvl>
    <w:lvl w:ilvl="2" w:tplc="55E0F446" w:tentative="1">
      <w:start w:val="1"/>
      <w:numFmt w:val="bullet"/>
      <w:lvlText w:val=""/>
      <w:lvlJc w:val="left"/>
      <w:pPr>
        <w:ind w:left="3600" w:hanging="360"/>
      </w:pPr>
      <w:rPr>
        <w:rFonts w:ascii="Wingdings" w:hAnsi="Wingdings" w:hint="default"/>
      </w:rPr>
    </w:lvl>
    <w:lvl w:ilvl="3" w:tplc="D49619B6" w:tentative="1">
      <w:start w:val="1"/>
      <w:numFmt w:val="bullet"/>
      <w:lvlText w:val=""/>
      <w:lvlJc w:val="left"/>
      <w:pPr>
        <w:ind w:left="4320" w:hanging="360"/>
      </w:pPr>
      <w:rPr>
        <w:rFonts w:ascii="Symbol" w:hAnsi="Symbol" w:hint="default"/>
      </w:rPr>
    </w:lvl>
    <w:lvl w:ilvl="4" w:tplc="BDD294EC" w:tentative="1">
      <w:start w:val="1"/>
      <w:numFmt w:val="bullet"/>
      <w:lvlText w:val="o"/>
      <w:lvlJc w:val="left"/>
      <w:pPr>
        <w:ind w:left="5040" w:hanging="360"/>
      </w:pPr>
      <w:rPr>
        <w:rFonts w:ascii="Courier New" w:hAnsi="Courier New" w:cs="Courier New" w:hint="default"/>
      </w:rPr>
    </w:lvl>
    <w:lvl w:ilvl="5" w:tplc="9C9A2622" w:tentative="1">
      <w:start w:val="1"/>
      <w:numFmt w:val="bullet"/>
      <w:lvlText w:val=""/>
      <w:lvlJc w:val="left"/>
      <w:pPr>
        <w:ind w:left="5760" w:hanging="360"/>
      </w:pPr>
      <w:rPr>
        <w:rFonts w:ascii="Wingdings" w:hAnsi="Wingdings" w:hint="default"/>
      </w:rPr>
    </w:lvl>
    <w:lvl w:ilvl="6" w:tplc="3E9E9700" w:tentative="1">
      <w:start w:val="1"/>
      <w:numFmt w:val="bullet"/>
      <w:lvlText w:val=""/>
      <w:lvlJc w:val="left"/>
      <w:pPr>
        <w:ind w:left="6480" w:hanging="360"/>
      </w:pPr>
      <w:rPr>
        <w:rFonts w:ascii="Symbol" w:hAnsi="Symbol" w:hint="default"/>
      </w:rPr>
    </w:lvl>
    <w:lvl w:ilvl="7" w:tplc="45C89E32" w:tentative="1">
      <w:start w:val="1"/>
      <w:numFmt w:val="bullet"/>
      <w:lvlText w:val="o"/>
      <w:lvlJc w:val="left"/>
      <w:pPr>
        <w:ind w:left="7200" w:hanging="360"/>
      </w:pPr>
      <w:rPr>
        <w:rFonts w:ascii="Courier New" w:hAnsi="Courier New" w:cs="Courier New" w:hint="default"/>
      </w:rPr>
    </w:lvl>
    <w:lvl w:ilvl="8" w:tplc="520894F8" w:tentative="1">
      <w:start w:val="1"/>
      <w:numFmt w:val="bullet"/>
      <w:lvlText w:val=""/>
      <w:lvlJc w:val="left"/>
      <w:pPr>
        <w:ind w:left="7920" w:hanging="360"/>
      </w:pPr>
      <w:rPr>
        <w:rFonts w:ascii="Wingdings" w:hAnsi="Wingdings" w:hint="default"/>
      </w:rPr>
    </w:lvl>
  </w:abstractNum>
  <w:abstractNum w:abstractNumId="4" w15:restartNumberingAfterBreak="0">
    <w:nsid w:val="0D095598"/>
    <w:multiLevelType w:val="hybridMultilevel"/>
    <w:tmpl w:val="EBD283F2"/>
    <w:lvl w:ilvl="0" w:tplc="2416DEE2">
      <w:start w:val="1"/>
      <w:numFmt w:val="bullet"/>
      <w:lvlText w:val=""/>
      <w:lvlJc w:val="left"/>
      <w:pPr>
        <w:ind w:left="720" w:hanging="360"/>
      </w:pPr>
      <w:rPr>
        <w:rFonts w:ascii="Symbol" w:hAnsi="Symbol" w:hint="default"/>
      </w:rPr>
    </w:lvl>
    <w:lvl w:ilvl="1" w:tplc="2BD0370A" w:tentative="1">
      <w:start w:val="1"/>
      <w:numFmt w:val="bullet"/>
      <w:lvlText w:val="o"/>
      <w:lvlJc w:val="left"/>
      <w:pPr>
        <w:ind w:left="1440" w:hanging="360"/>
      </w:pPr>
      <w:rPr>
        <w:rFonts w:ascii="Courier New" w:hAnsi="Courier New" w:cs="Courier New" w:hint="default"/>
      </w:rPr>
    </w:lvl>
    <w:lvl w:ilvl="2" w:tplc="CADE574E" w:tentative="1">
      <w:start w:val="1"/>
      <w:numFmt w:val="bullet"/>
      <w:lvlText w:val=""/>
      <w:lvlJc w:val="left"/>
      <w:pPr>
        <w:ind w:left="2160" w:hanging="360"/>
      </w:pPr>
      <w:rPr>
        <w:rFonts w:ascii="Wingdings" w:hAnsi="Wingdings" w:hint="default"/>
      </w:rPr>
    </w:lvl>
    <w:lvl w:ilvl="3" w:tplc="A9D4C136" w:tentative="1">
      <w:start w:val="1"/>
      <w:numFmt w:val="bullet"/>
      <w:lvlText w:val=""/>
      <w:lvlJc w:val="left"/>
      <w:pPr>
        <w:ind w:left="2880" w:hanging="360"/>
      </w:pPr>
      <w:rPr>
        <w:rFonts w:ascii="Symbol" w:hAnsi="Symbol" w:hint="default"/>
      </w:rPr>
    </w:lvl>
    <w:lvl w:ilvl="4" w:tplc="B05C591C" w:tentative="1">
      <w:start w:val="1"/>
      <w:numFmt w:val="bullet"/>
      <w:lvlText w:val="o"/>
      <w:lvlJc w:val="left"/>
      <w:pPr>
        <w:ind w:left="3600" w:hanging="360"/>
      </w:pPr>
      <w:rPr>
        <w:rFonts w:ascii="Courier New" w:hAnsi="Courier New" w:cs="Courier New" w:hint="default"/>
      </w:rPr>
    </w:lvl>
    <w:lvl w:ilvl="5" w:tplc="241A40A6" w:tentative="1">
      <w:start w:val="1"/>
      <w:numFmt w:val="bullet"/>
      <w:lvlText w:val=""/>
      <w:lvlJc w:val="left"/>
      <w:pPr>
        <w:ind w:left="4320" w:hanging="360"/>
      </w:pPr>
      <w:rPr>
        <w:rFonts w:ascii="Wingdings" w:hAnsi="Wingdings" w:hint="default"/>
      </w:rPr>
    </w:lvl>
    <w:lvl w:ilvl="6" w:tplc="A72A8028" w:tentative="1">
      <w:start w:val="1"/>
      <w:numFmt w:val="bullet"/>
      <w:lvlText w:val=""/>
      <w:lvlJc w:val="left"/>
      <w:pPr>
        <w:ind w:left="5040" w:hanging="360"/>
      </w:pPr>
      <w:rPr>
        <w:rFonts w:ascii="Symbol" w:hAnsi="Symbol" w:hint="default"/>
      </w:rPr>
    </w:lvl>
    <w:lvl w:ilvl="7" w:tplc="13B2FF5A" w:tentative="1">
      <w:start w:val="1"/>
      <w:numFmt w:val="bullet"/>
      <w:lvlText w:val="o"/>
      <w:lvlJc w:val="left"/>
      <w:pPr>
        <w:ind w:left="5760" w:hanging="360"/>
      </w:pPr>
      <w:rPr>
        <w:rFonts w:ascii="Courier New" w:hAnsi="Courier New" w:cs="Courier New" w:hint="default"/>
      </w:rPr>
    </w:lvl>
    <w:lvl w:ilvl="8" w:tplc="BEFECA88" w:tentative="1">
      <w:start w:val="1"/>
      <w:numFmt w:val="bullet"/>
      <w:lvlText w:val=""/>
      <w:lvlJc w:val="left"/>
      <w:pPr>
        <w:ind w:left="6480" w:hanging="360"/>
      </w:pPr>
      <w:rPr>
        <w:rFonts w:ascii="Wingdings" w:hAnsi="Wingdings" w:hint="default"/>
      </w:rPr>
    </w:lvl>
  </w:abstractNum>
  <w:abstractNum w:abstractNumId="5" w15:restartNumberingAfterBreak="0">
    <w:nsid w:val="0E6200F6"/>
    <w:multiLevelType w:val="hybridMultilevel"/>
    <w:tmpl w:val="177C4F48"/>
    <w:lvl w:ilvl="0" w:tplc="EE4685AE">
      <w:start w:val="1"/>
      <w:numFmt w:val="bullet"/>
      <w:lvlText w:val=""/>
      <w:lvlJc w:val="left"/>
      <w:pPr>
        <w:ind w:left="2160" w:hanging="360"/>
      </w:pPr>
      <w:rPr>
        <w:rFonts w:ascii="Symbol" w:hAnsi="Symbol" w:hint="default"/>
      </w:rPr>
    </w:lvl>
    <w:lvl w:ilvl="1" w:tplc="095EDDF8" w:tentative="1">
      <w:start w:val="1"/>
      <w:numFmt w:val="bullet"/>
      <w:lvlText w:val="o"/>
      <w:lvlJc w:val="left"/>
      <w:pPr>
        <w:ind w:left="2880" w:hanging="360"/>
      </w:pPr>
      <w:rPr>
        <w:rFonts w:ascii="Courier New" w:hAnsi="Courier New" w:cs="Courier New" w:hint="default"/>
      </w:rPr>
    </w:lvl>
    <w:lvl w:ilvl="2" w:tplc="11CE4A6C" w:tentative="1">
      <w:start w:val="1"/>
      <w:numFmt w:val="bullet"/>
      <w:lvlText w:val=""/>
      <w:lvlJc w:val="left"/>
      <w:pPr>
        <w:ind w:left="3600" w:hanging="360"/>
      </w:pPr>
      <w:rPr>
        <w:rFonts w:ascii="Wingdings" w:hAnsi="Wingdings" w:hint="default"/>
      </w:rPr>
    </w:lvl>
    <w:lvl w:ilvl="3" w:tplc="74FA165E" w:tentative="1">
      <w:start w:val="1"/>
      <w:numFmt w:val="bullet"/>
      <w:lvlText w:val=""/>
      <w:lvlJc w:val="left"/>
      <w:pPr>
        <w:ind w:left="4320" w:hanging="360"/>
      </w:pPr>
      <w:rPr>
        <w:rFonts w:ascii="Symbol" w:hAnsi="Symbol" w:hint="default"/>
      </w:rPr>
    </w:lvl>
    <w:lvl w:ilvl="4" w:tplc="569AAB88" w:tentative="1">
      <w:start w:val="1"/>
      <w:numFmt w:val="bullet"/>
      <w:lvlText w:val="o"/>
      <w:lvlJc w:val="left"/>
      <w:pPr>
        <w:ind w:left="5040" w:hanging="360"/>
      </w:pPr>
      <w:rPr>
        <w:rFonts w:ascii="Courier New" w:hAnsi="Courier New" w:cs="Courier New" w:hint="default"/>
      </w:rPr>
    </w:lvl>
    <w:lvl w:ilvl="5" w:tplc="0E0AEC2E" w:tentative="1">
      <w:start w:val="1"/>
      <w:numFmt w:val="bullet"/>
      <w:lvlText w:val=""/>
      <w:lvlJc w:val="left"/>
      <w:pPr>
        <w:ind w:left="5760" w:hanging="360"/>
      </w:pPr>
      <w:rPr>
        <w:rFonts w:ascii="Wingdings" w:hAnsi="Wingdings" w:hint="default"/>
      </w:rPr>
    </w:lvl>
    <w:lvl w:ilvl="6" w:tplc="59B84CB4" w:tentative="1">
      <w:start w:val="1"/>
      <w:numFmt w:val="bullet"/>
      <w:lvlText w:val=""/>
      <w:lvlJc w:val="left"/>
      <w:pPr>
        <w:ind w:left="6480" w:hanging="360"/>
      </w:pPr>
      <w:rPr>
        <w:rFonts w:ascii="Symbol" w:hAnsi="Symbol" w:hint="default"/>
      </w:rPr>
    </w:lvl>
    <w:lvl w:ilvl="7" w:tplc="EADEE264" w:tentative="1">
      <w:start w:val="1"/>
      <w:numFmt w:val="bullet"/>
      <w:lvlText w:val="o"/>
      <w:lvlJc w:val="left"/>
      <w:pPr>
        <w:ind w:left="7200" w:hanging="360"/>
      </w:pPr>
      <w:rPr>
        <w:rFonts w:ascii="Courier New" w:hAnsi="Courier New" w:cs="Courier New" w:hint="default"/>
      </w:rPr>
    </w:lvl>
    <w:lvl w:ilvl="8" w:tplc="DAAA5234" w:tentative="1">
      <w:start w:val="1"/>
      <w:numFmt w:val="bullet"/>
      <w:lvlText w:val=""/>
      <w:lvlJc w:val="left"/>
      <w:pPr>
        <w:ind w:left="7920" w:hanging="360"/>
      </w:pPr>
      <w:rPr>
        <w:rFonts w:ascii="Wingdings" w:hAnsi="Wingdings" w:hint="default"/>
      </w:rPr>
    </w:lvl>
  </w:abstractNum>
  <w:abstractNum w:abstractNumId="6" w15:restartNumberingAfterBreak="0">
    <w:nsid w:val="0F671272"/>
    <w:multiLevelType w:val="hybridMultilevel"/>
    <w:tmpl w:val="BAA4DE12"/>
    <w:lvl w:ilvl="0" w:tplc="FB64E7E0">
      <w:start w:val="1"/>
      <w:numFmt w:val="bullet"/>
      <w:lvlText w:val=""/>
      <w:lvlJc w:val="left"/>
      <w:pPr>
        <w:ind w:left="720" w:hanging="360"/>
      </w:pPr>
      <w:rPr>
        <w:rFonts w:ascii="Wingdings" w:hAnsi="Wingdings" w:hint="default"/>
        <w:b w:val="0"/>
        <w:i w:val="0"/>
        <w:sz w:val="28"/>
        <w:u w:color="C00000"/>
      </w:rPr>
    </w:lvl>
    <w:lvl w:ilvl="1" w:tplc="376CA110" w:tentative="1">
      <w:start w:val="1"/>
      <w:numFmt w:val="bullet"/>
      <w:lvlText w:val="o"/>
      <w:lvlJc w:val="left"/>
      <w:pPr>
        <w:ind w:left="1440" w:hanging="360"/>
      </w:pPr>
      <w:rPr>
        <w:rFonts w:ascii="Courier New" w:hAnsi="Courier New" w:cs="Courier New" w:hint="default"/>
      </w:rPr>
    </w:lvl>
    <w:lvl w:ilvl="2" w:tplc="5D8E7C32" w:tentative="1">
      <w:start w:val="1"/>
      <w:numFmt w:val="bullet"/>
      <w:lvlText w:val=""/>
      <w:lvlJc w:val="left"/>
      <w:pPr>
        <w:ind w:left="2160" w:hanging="360"/>
      </w:pPr>
      <w:rPr>
        <w:rFonts w:ascii="Wingdings" w:hAnsi="Wingdings" w:hint="default"/>
      </w:rPr>
    </w:lvl>
    <w:lvl w:ilvl="3" w:tplc="0852ACEE" w:tentative="1">
      <w:start w:val="1"/>
      <w:numFmt w:val="bullet"/>
      <w:lvlText w:val=""/>
      <w:lvlJc w:val="left"/>
      <w:pPr>
        <w:ind w:left="2880" w:hanging="360"/>
      </w:pPr>
      <w:rPr>
        <w:rFonts w:ascii="Symbol" w:hAnsi="Symbol" w:hint="default"/>
      </w:rPr>
    </w:lvl>
    <w:lvl w:ilvl="4" w:tplc="AF68B576" w:tentative="1">
      <w:start w:val="1"/>
      <w:numFmt w:val="bullet"/>
      <w:lvlText w:val="o"/>
      <w:lvlJc w:val="left"/>
      <w:pPr>
        <w:ind w:left="3600" w:hanging="360"/>
      </w:pPr>
      <w:rPr>
        <w:rFonts w:ascii="Courier New" w:hAnsi="Courier New" w:cs="Courier New" w:hint="default"/>
      </w:rPr>
    </w:lvl>
    <w:lvl w:ilvl="5" w:tplc="E6167E96" w:tentative="1">
      <w:start w:val="1"/>
      <w:numFmt w:val="bullet"/>
      <w:lvlText w:val=""/>
      <w:lvlJc w:val="left"/>
      <w:pPr>
        <w:ind w:left="4320" w:hanging="360"/>
      </w:pPr>
      <w:rPr>
        <w:rFonts w:ascii="Wingdings" w:hAnsi="Wingdings" w:hint="default"/>
      </w:rPr>
    </w:lvl>
    <w:lvl w:ilvl="6" w:tplc="D7265E24" w:tentative="1">
      <w:start w:val="1"/>
      <w:numFmt w:val="bullet"/>
      <w:lvlText w:val=""/>
      <w:lvlJc w:val="left"/>
      <w:pPr>
        <w:ind w:left="5040" w:hanging="360"/>
      </w:pPr>
      <w:rPr>
        <w:rFonts w:ascii="Symbol" w:hAnsi="Symbol" w:hint="default"/>
      </w:rPr>
    </w:lvl>
    <w:lvl w:ilvl="7" w:tplc="0CB25ADE" w:tentative="1">
      <w:start w:val="1"/>
      <w:numFmt w:val="bullet"/>
      <w:lvlText w:val="o"/>
      <w:lvlJc w:val="left"/>
      <w:pPr>
        <w:ind w:left="5760" w:hanging="360"/>
      </w:pPr>
      <w:rPr>
        <w:rFonts w:ascii="Courier New" w:hAnsi="Courier New" w:cs="Courier New" w:hint="default"/>
      </w:rPr>
    </w:lvl>
    <w:lvl w:ilvl="8" w:tplc="7A3A666A" w:tentative="1">
      <w:start w:val="1"/>
      <w:numFmt w:val="bullet"/>
      <w:lvlText w:val=""/>
      <w:lvlJc w:val="left"/>
      <w:pPr>
        <w:ind w:left="6480" w:hanging="360"/>
      </w:pPr>
      <w:rPr>
        <w:rFonts w:ascii="Wingdings" w:hAnsi="Wingdings" w:hint="default"/>
      </w:rPr>
    </w:lvl>
  </w:abstractNum>
  <w:abstractNum w:abstractNumId="7" w15:restartNumberingAfterBreak="0">
    <w:nsid w:val="16D76E87"/>
    <w:multiLevelType w:val="hybridMultilevel"/>
    <w:tmpl w:val="14684468"/>
    <w:lvl w:ilvl="0" w:tplc="898AEF16">
      <w:start w:val="1"/>
      <w:numFmt w:val="bullet"/>
      <w:lvlText w:val=""/>
      <w:lvlJc w:val="left"/>
      <w:pPr>
        <w:ind w:left="720" w:hanging="360"/>
      </w:pPr>
      <w:rPr>
        <w:rFonts w:ascii="Symbol" w:hAnsi="Symbol" w:hint="default"/>
      </w:rPr>
    </w:lvl>
    <w:lvl w:ilvl="1" w:tplc="A068326C" w:tentative="1">
      <w:start w:val="1"/>
      <w:numFmt w:val="bullet"/>
      <w:lvlText w:val="o"/>
      <w:lvlJc w:val="left"/>
      <w:pPr>
        <w:ind w:left="1440" w:hanging="360"/>
      </w:pPr>
      <w:rPr>
        <w:rFonts w:ascii="Courier New" w:hAnsi="Courier New" w:cs="Courier New" w:hint="default"/>
      </w:rPr>
    </w:lvl>
    <w:lvl w:ilvl="2" w:tplc="C39CC7EC" w:tentative="1">
      <w:start w:val="1"/>
      <w:numFmt w:val="bullet"/>
      <w:lvlText w:val=""/>
      <w:lvlJc w:val="left"/>
      <w:pPr>
        <w:ind w:left="2160" w:hanging="360"/>
      </w:pPr>
      <w:rPr>
        <w:rFonts w:ascii="Wingdings" w:hAnsi="Wingdings" w:hint="default"/>
      </w:rPr>
    </w:lvl>
    <w:lvl w:ilvl="3" w:tplc="44804404" w:tentative="1">
      <w:start w:val="1"/>
      <w:numFmt w:val="bullet"/>
      <w:lvlText w:val=""/>
      <w:lvlJc w:val="left"/>
      <w:pPr>
        <w:ind w:left="2880" w:hanging="360"/>
      </w:pPr>
      <w:rPr>
        <w:rFonts w:ascii="Symbol" w:hAnsi="Symbol" w:hint="default"/>
      </w:rPr>
    </w:lvl>
    <w:lvl w:ilvl="4" w:tplc="A106DA04" w:tentative="1">
      <w:start w:val="1"/>
      <w:numFmt w:val="bullet"/>
      <w:lvlText w:val="o"/>
      <w:lvlJc w:val="left"/>
      <w:pPr>
        <w:ind w:left="3600" w:hanging="360"/>
      </w:pPr>
      <w:rPr>
        <w:rFonts w:ascii="Courier New" w:hAnsi="Courier New" w:cs="Courier New" w:hint="default"/>
      </w:rPr>
    </w:lvl>
    <w:lvl w:ilvl="5" w:tplc="7A8CE636" w:tentative="1">
      <w:start w:val="1"/>
      <w:numFmt w:val="bullet"/>
      <w:lvlText w:val=""/>
      <w:lvlJc w:val="left"/>
      <w:pPr>
        <w:ind w:left="4320" w:hanging="360"/>
      </w:pPr>
      <w:rPr>
        <w:rFonts w:ascii="Wingdings" w:hAnsi="Wingdings" w:hint="default"/>
      </w:rPr>
    </w:lvl>
    <w:lvl w:ilvl="6" w:tplc="500AE860" w:tentative="1">
      <w:start w:val="1"/>
      <w:numFmt w:val="bullet"/>
      <w:lvlText w:val=""/>
      <w:lvlJc w:val="left"/>
      <w:pPr>
        <w:ind w:left="5040" w:hanging="360"/>
      </w:pPr>
      <w:rPr>
        <w:rFonts w:ascii="Symbol" w:hAnsi="Symbol" w:hint="default"/>
      </w:rPr>
    </w:lvl>
    <w:lvl w:ilvl="7" w:tplc="5CDCD488" w:tentative="1">
      <w:start w:val="1"/>
      <w:numFmt w:val="bullet"/>
      <w:lvlText w:val="o"/>
      <w:lvlJc w:val="left"/>
      <w:pPr>
        <w:ind w:left="5760" w:hanging="360"/>
      </w:pPr>
      <w:rPr>
        <w:rFonts w:ascii="Courier New" w:hAnsi="Courier New" w:cs="Courier New" w:hint="default"/>
      </w:rPr>
    </w:lvl>
    <w:lvl w:ilvl="8" w:tplc="26B44A68" w:tentative="1">
      <w:start w:val="1"/>
      <w:numFmt w:val="bullet"/>
      <w:lvlText w:val=""/>
      <w:lvlJc w:val="left"/>
      <w:pPr>
        <w:ind w:left="6480" w:hanging="360"/>
      </w:pPr>
      <w:rPr>
        <w:rFonts w:ascii="Wingdings" w:hAnsi="Wingdings" w:hint="default"/>
      </w:rPr>
    </w:lvl>
  </w:abstractNum>
  <w:abstractNum w:abstractNumId="8" w15:restartNumberingAfterBreak="0">
    <w:nsid w:val="213F1E19"/>
    <w:multiLevelType w:val="hybridMultilevel"/>
    <w:tmpl w:val="C3482E9C"/>
    <w:lvl w:ilvl="0" w:tplc="7E2A9258">
      <w:start w:val="1"/>
      <w:numFmt w:val="bullet"/>
      <w:lvlText w:val=""/>
      <w:lvlJc w:val="left"/>
      <w:pPr>
        <w:ind w:left="720" w:hanging="360"/>
      </w:pPr>
      <w:rPr>
        <w:rFonts w:ascii="Symbol" w:hAnsi="Symbol" w:hint="default"/>
      </w:rPr>
    </w:lvl>
    <w:lvl w:ilvl="1" w:tplc="E67CDD2A" w:tentative="1">
      <w:start w:val="1"/>
      <w:numFmt w:val="bullet"/>
      <w:lvlText w:val="o"/>
      <w:lvlJc w:val="left"/>
      <w:pPr>
        <w:ind w:left="1440" w:hanging="360"/>
      </w:pPr>
      <w:rPr>
        <w:rFonts w:ascii="Courier New" w:hAnsi="Courier New" w:cs="Courier New" w:hint="default"/>
      </w:rPr>
    </w:lvl>
    <w:lvl w:ilvl="2" w:tplc="4F3C0416" w:tentative="1">
      <w:start w:val="1"/>
      <w:numFmt w:val="bullet"/>
      <w:lvlText w:val=""/>
      <w:lvlJc w:val="left"/>
      <w:pPr>
        <w:ind w:left="2160" w:hanging="360"/>
      </w:pPr>
      <w:rPr>
        <w:rFonts w:ascii="Wingdings" w:hAnsi="Wingdings" w:hint="default"/>
      </w:rPr>
    </w:lvl>
    <w:lvl w:ilvl="3" w:tplc="2DF46F5A" w:tentative="1">
      <w:start w:val="1"/>
      <w:numFmt w:val="bullet"/>
      <w:lvlText w:val=""/>
      <w:lvlJc w:val="left"/>
      <w:pPr>
        <w:ind w:left="2880" w:hanging="360"/>
      </w:pPr>
      <w:rPr>
        <w:rFonts w:ascii="Symbol" w:hAnsi="Symbol" w:hint="default"/>
      </w:rPr>
    </w:lvl>
    <w:lvl w:ilvl="4" w:tplc="3254217A" w:tentative="1">
      <w:start w:val="1"/>
      <w:numFmt w:val="bullet"/>
      <w:lvlText w:val="o"/>
      <w:lvlJc w:val="left"/>
      <w:pPr>
        <w:ind w:left="3600" w:hanging="360"/>
      </w:pPr>
      <w:rPr>
        <w:rFonts w:ascii="Courier New" w:hAnsi="Courier New" w:cs="Courier New" w:hint="default"/>
      </w:rPr>
    </w:lvl>
    <w:lvl w:ilvl="5" w:tplc="9FE25282" w:tentative="1">
      <w:start w:val="1"/>
      <w:numFmt w:val="bullet"/>
      <w:lvlText w:val=""/>
      <w:lvlJc w:val="left"/>
      <w:pPr>
        <w:ind w:left="4320" w:hanging="360"/>
      </w:pPr>
      <w:rPr>
        <w:rFonts w:ascii="Wingdings" w:hAnsi="Wingdings" w:hint="default"/>
      </w:rPr>
    </w:lvl>
    <w:lvl w:ilvl="6" w:tplc="97A0556C" w:tentative="1">
      <w:start w:val="1"/>
      <w:numFmt w:val="bullet"/>
      <w:lvlText w:val=""/>
      <w:lvlJc w:val="left"/>
      <w:pPr>
        <w:ind w:left="5040" w:hanging="360"/>
      </w:pPr>
      <w:rPr>
        <w:rFonts w:ascii="Symbol" w:hAnsi="Symbol" w:hint="default"/>
      </w:rPr>
    </w:lvl>
    <w:lvl w:ilvl="7" w:tplc="8A8240C8" w:tentative="1">
      <w:start w:val="1"/>
      <w:numFmt w:val="bullet"/>
      <w:lvlText w:val="o"/>
      <w:lvlJc w:val="left"/>
      <w:pPr>
        <w:ind w:left="5760" w:hanging="360"/>
      </w:pPr>
      <w:rPr>
        <w:rFonts w:ascii="Courier New" w:hAnsi="Courier New" w:cs="Courier New" w:hint="default"/>
      </w:rPr>
    </w:lvl>
    <w:lvl w:ilvl="8" w:tplc="8ACC1D0C" w:tentative="1">
      <w:start w:val="1"/>
      <w:numFmt w:val="bullet"/>
      <w:lvlText w:val=""/>
      <w:lvlJc w:val="left"/>
      <w:pPr>
        <w:ind w:left="6480" w:hanging="360"/>
      </w:pPr>
      <w:rPr>
        <w:rFonts w:ascii="Wingdings" w:hAnsi="Wingdings" w:hint="default"/>
      </w:rPr>
    </w:lvl>
  </w:abstractNum>
  <w:abstractNum w:abstractNumId="9" w15:restartNumberingAfterBreak="0">
    <w:nsid w:val="25BC5149"/>
    <w:multiLevelType w:val="hybridMultilevel"/>
    <w:tmpl w:val="E932CA06"/>
    <w:lvl w:ilvl="0" w:tplc="BD76DCCE">
      <w:start w:val="1"/>
      <w:numFmt w:val="bullet"/>
      <w:lvlText w:val=""/>
      <w:lvlJc w:val="left"/>
      <w:pPr>
        <w:ind w:left="720" w:hanging="360"/>
      </w:pPr>
      <w:rPr>
        <w:rFonts w:ascii="Wingdings" w:hAnsi="Wingdings" w:hint="default"/>
        <w:b w:val="0"/>
        <w:i w:val="0"/>
        <w:sz w:val="28"/>
        <w:u w:color="C00000"/>
      </w:rPr>
    </w:lvl>
    <w:lvl w:ilvl="1" w:tplc="43CC693E">
      <w:start w:val="1"/>
      <w:numFmt w:val="bullet"/>
      <w:lvlText w:val="o"/>
      <w:lvlJc w:val="left"/>
      <w:pPr>
        <w:ind w:left="1440" w:hanging="360"/>
      </w:pPr>
      <w:rPr>
        <w:rFonts w:ascii="Courier New" w:hAnsi="Courier New" w:cs="Courier New" w:hint="default"/>
      </w:rPr>
    </w:lvl>
    <w:lvl w:ilvl="2" w:tplc="E91EAB8A" w:tentative="1">
      <w:start w:val="1"/>
      <w:numFmt w:val="bullet"/>
      <w:lvlText w:val=""/>
      <w:lvlJc w:val="left"/>
      <w:pPr>
        <w:ind w:left="2160" w:hanging="360"/>
      </w:pPr>
      <w:rPr>
        <w:rFonts w:ascii="Wingdings" w:hAnsi="Wingdings" w:hint="default"/>
      </w:rPr>
    </w:lvl>
    <w:lvl w:ilvl="3" w:tplc="5240DA48" w:tentative="1">
      <w:start w:val="1"/>
      <w:numFmt w:val="bullet"/>
      <w:lvlText w:val=""/>
      <w:lvlJc w:val="left"/>
      <w:pPr>
        <w:ind w:left="2880" w:hanging="360"/>
      </w:pPr>
      <w:rPr>
        <w:rFonts w:ascii="Symbol" w:hAnsi="Symbol" w:hint="default"/>
      </w:rPr>
    </w:lvl>
    <w:lvl w:ilvl="4" w:tplc="89C02D9E" w:tentative="1">
      <w:start w:val="1"/>
      <w:numFmt w:val="bullet"/>
      <w:lvlText w:val="o"/>
      <w:lvlJc w:val="left"/>
      <w:pPr>
        <w:ind w:left="3600" w:hanging="360"/>
      </w:pPr>
      <w:rPr>
        <w:rFonts w:ascii="Courier New" w:hAnsi="Courier New" w:cs="Courier New" w:hint="default"/>
      </w:rPr>
    </w:lvl>
    <w:lvl w:ilvl="5" w:tplc="4F48F708" w:tentative="1">
      <w:start w:val="1"/>
      <w:numFmt w:val="bullet"/>
      <w:lvlText w:val=""/>
      <w:lvlJc w:val="left"/>
      <w:pPr>
        <w:ind w:left="4320" w:hanging="360"/>
      </w:pPr>
      <w:rPr>
        <w:rFonts w:ascii="Wingdings" w:hAnsi="Wingdings" w:hint="default"/>
      </w:rPr>
    </w:lvl>
    <w:lvl w:ilvl="6" w:tplc="90FA4220" w:tentative="1">
      <w:start w:val="1"/>
      <w:numFmt w:val="bullet"/>
      <w:lvlText w:val=""/>
      <w:lvlJc w:val="left"/>
      <w:pPr>
        <w:ind w:left="5040" w:hanging="360"/>
      </w:pPr>
      <w:rPr>
        <w:rFonts w:ascii="Symbol" w:hAnsi="Symbol" w:hint="default"/>
      </w:rPr>
    </w:lvl>
    <w:lvl w:ilvl="7" w:tplc="5B7E7AA6" w:tentative="1">
      <w:start w:val="1"/>
      <w:numFmt w:val="bullet"/>
      <w:lvlText w:val="o"/>
      <w:lvlJc w:val="left"/>
      <w:pPr>
        <w:ind w:left="5760" w:hanging="360"/>
      </w:pPr>
      <w:rPr>
        <w:rFonts w:ascii="Courier New" w:hAnsi="Courier New" w:cs="Courier New" w:hint="default"/>
      </w:rPr>
    </w:lvl>
    <w:lvl w:ilvl="8" w:tplc="96A49278" w:tentative="1">
      <w:start w:val="1"/>
      <w:numFmt w:val="bullet"/>
      <w:lvlText w:val=""/>
      <w:lvlJc w:val="left"/>
      <w:pPr>
        <w:ind w:left="6480" w:hanging="360"/>
      </w:pPr>
      <w:rPr>
        <w:rFonts w:ascii="Wingdings" w:hAnsi="Wingdings" w:hint="default"/>
      </w:rPr>
    </w:lvl>
  </w:abstractNum>
  <w:abstractNum w:abstractNumId="10" w15:restartNumberingAfterBreak="0">
    <w:nsid w:val="32117E22"/>
    <w:multiLevelType w:val="hybridMultilevel"/>
    <w:tmpl w:val="4828B4E6"/>
    <w:lvl w:ilvl="0" w:tplc="71EC0DC0">
      <w:start w:val="1"/>
      <w:numFmt w:val="bullet"/>
      <w:lvlText w:val=""/>
      <w:lvlJc w:val="left"/>
      <w:pPr>
        <w:tabs>
          <w:tab w:val="num" w:pos="648"/>
        </w:tabs>
        <w:ind w:left="648" w:hanging="360"/>
      </w:pPr>
      <w:rPr>
        <w:rFonts w:ascii="Symbol" w:hAnsi="Symbol" w:hint="default"/>
      </w:rPr>
    </w:lvl>
    <w:lvl w:ilvl="1" w:tplc="F8EABD8A" w:tentative="1">
      <w:start w:val="1"/>
      <w:numFmt w:val="bullet"/>
      <w:lvlText w:val="o"/>
      <w:lvlJc w:val="left"/>
      <w:pPr>
        <w:tabs>
          <w:tab w:val="num" w:pos="1440"/>
        </w:tabs>
        <w:ind w:left="1440" w:hanging="360"/>
      </w:pPr>
      <w:rPr>
        <w:rFonts w:ascii="Courier New" w:hAnsi="Courier New" w:hint="default"/>
      </w:rPr>
    </w:lvl>
    <w:lvl w:ilvl="2" w:tplc="FFB6B378" w:tentative="1">
      <w:start w:val="1"/>
      <w:numFmt w:val="bullet"/>
      <w:lvlText w:val=""/>
      <w:lvlJc w:val="left"/>
      <w:pPr>
        <w:tabs>
          <w:tab w:val="num" w:pos="2160"/>
        </w:tabs>
        <w:ind w:left="2160" w:hanging="360"/>
      </w:pPr>
      <w:rPr>
        <w:rFonts w:ascii="Wingdings" w:hAnsi="Wingdings" w:hint="default"/>
      </w:rPr>
    </w:lvl>
    <w:lvl w:ilvl="3" w:tplc="73A62460" w:tentative="1">
      <w:start w:val="1"/>
      <w:numFmt w:val="bullet"/>
      <w:lvlText w:val=""/>
      <w:lvlJc w:val="left"/>
      <w:pPr>
        <w:tabs>
          <w:tab w:val="num" w:pos="2880"/>
        </w:tabs>
        <w:ind w:left="2880" w:hanging="360"/>
      </w:pPr>
      <w:rPr>
        <w:rFonts w:ascii="Symbol" w:hAnsi="Symbol" w:hint="default"/>
      </w:rPr>
    </w:lvl>
    <w:lvl w:ilvl="4" w:tplc="DF460FE6" w:tentative="1">
      <w:start w:val="1"/>
      <w:numFmt w:val="bullet"/>
      <w:lvlText w:val="o"/>
      <w:lvlJc w:val="left"/>
      <w:pPr>
        <w:tabs>
          <w:tab w:val="num" w:pos="3600"/>
        </w:tabs>
        <w:ind w:left="3600" w:hanging="360"/>
      </w:pPr>
      <w:rPr>
        <w:rFonts w:ascii="Courier New" w:hAnsi="Courier New" w:hint="default"/>
      </w:rPr>
    </w:lvl>
    <w:lvl w:ilvl="5" w:tplc="3EEE9826" w:tentative="1">
      <w:start w:val="1"/>
      <w:numFmt w:val="bullet"/>
      <w:lvlText w:val=""/>
      <w:lvlJc w:val="left"/>
      <w:pPr>
        <w:tabs>
          <w:tab w:val="num" w:pos="4320"/>
        </w:tabs>
        <w:ind w:left="4320" w:hanging="360"/>
      </w:pPr>
      <w:rPr>
        <w:rFonts w:ascii="Wingdings" w:hAnsi="Wingdings" w:hint="default"/>
      </w:rPr>
    </w:lvl>
    <w:lvl w:ilvl="6" w:tplc="5AA25730" w:tentative="1">
      <w:start w:val="1"/>
      <w:numFmt w:val="bullet"/>
      <w:lvlText w:val=""/>
      <w:lvlJc w:val="left"/>
      <w:pPr>
        <w:tabs>
          <w:tab w:val="num" w:pos="5040"/>
        </w:tabs>
        <w:ind w:left="5040" w:hanging="360"/>
      </w:pPr>
      <w:rPr>
        <w:rFonts w:ascii="Symbol" w:hAnsi="Symbol" w:hint="default"/>
      </w:rPr>
    </w:lvl>
    <w:lvl w:ilvl="7" w:tplc="347A87E6" w:tentative="1">
      <w:start w:val="1"/>
      <w:numFmt w:val="bullet"/>
      <w:lvlText w:val="o"/>
      <w:lvlJc w:val="left"/>
      <w:pPr>
        <w:tabs>
          <w:tab w:val="num" w:pos="5760"/>
        </w:tabs>
        <w:ind w:left="5760" w:hanging="360"/>
      </w:pPr>
      <w:rPr>
        <w:rFonts w:ascii="Courier New" w:hAnsi="Courier New" w:hint="default"/>
      </w:rPr>
    </w:lvl>
    <w:lvl w:ilvl="8" w:tplc="154EB1F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1F5E34"/>
    <w:multiLevelType w:val="hybridMultilevel"/>
    <w:tmpl w:val="915CF34C"/>
    <w:lvl w:ilvl="0" w:tplc="EF7294F6">
      <w:start w:val="1"/>
      <w:numFmt w:val="bullet"/>
      <w:lvlText w:val=""/>
      <w:lvlJc w:val="left"/>
      <w:pPr>
        <w:ind w:left="720" w:hanging="360"/>
      </w:pPr>
      <w:rPr>
        <w:rFonts w:ascii="Symbol" w:hAnsi="Symbol" w:hint="default"/>
      </w:rPr>
    </w:lvl>
    <w:lvl w:ilvl="1" w:tplc="1CF68B04" w:tentative="1">
      <w:start w:val="1"/>
      <w:numFmt w:val="bullet"/>
      <w:lvlText w:val="o"/>
      <w:lvlJc w:val="left"/>
      <w:pPr>
        <w:ind w:left="1440" w:hanging="360"/>
      </w:pPr>
      <w:rPr>
        <w:rFonts w:ascii="Courier New" w:hAnsi="Courier New" w:cs="Courier New" w:hint="default"/>
      </w:rPr>
    </w:lvl>
    <w:lvl w:ilvl="2" w:tplc="BCA24686" w:tentative="1">
      <w:start w:val="1"/>
      <w:numFmt w:val="bullet"/>
      <w:lvlText w:val=""/>
      <w:lvlJc w:val="left"/>
      <w:pPr>
        <w:ind w:left="2160" w:hanging="360"/>
      </w:pPr>
      <w:rPr>
        <w:rFonts w:ascii="Wingdings" w:hAnsi="Wingdings" w:hint="default"/>
      </w:rPr>
    </w:lvl>
    <w:lvl w:ilvl="3" w:tplc="E0361B46" w:tentative="1">
      <w:start w:val="1"/>
      <w:numFmt w:val="bullet"/>
      <w:lvlText w:val=""/>
      <w:lvlJc w:val="left"/>
      <w:pPr>
        <w:ind w:left="2880" w:hanging="360"/>
      </w:pPr>
      <w:rPr>
        <w:rFonts w:ascii="Symbol" w:hAnsi="Symbol" w:hint="default"/>
      </w:rPr>
    </w:lvl>
    <w:lvl w:ilvl="4" w:tplc="BFE65B74" w:tentative="1">
      <w:start w:val="1"/>
      <w:numFmt w:val="bullet"/>
      <w:lvlText w:val="o"/>
      <w:lvlJc w:val="left"/>
      <w:pPr>
        <w:ind w:left="3600" w:hanging="360"/>
      </w:pPr>
      <w:rPr>
        <w:rFonts w:ascii="Courier New" w:hAnsi="Courier New" w:cs="Courier New" w:hint="default"/>
      </w:rPr>
    </w:lvl>
    <w:lvl w:ilvl="5" w:tplc="DFC66E1E" w:tentative="1">
      <w:start w:val="1"/>
      <w:numFmt w:val="bullet"/>
      <w:lvlText w:val=""/>
      <w:lvlJc w:val="left"/>
      <w:pPr>
        <w:ind w:left="4320" w:hanging="360"/>
      </w:pPr>
      <w:rPr>
        <w:rFonts w:ascii="Wingdings" w:hAnsi="Wingdings" w:hint="default"/>
      </w:rPr>
    </w:lvl>
    <w:lvl w:ilvl="6" w:tplc="CF94138A" w:tentative="1">
      <w:start w:val="1"/>
      <w:numFmt w:val="bullet"/>
      <w:lvlText w:val=""/>
      <w:lvlJc w:val="left"/>
      <w:pPr>
        <w:ind w:left="5040" w:hanging="360"/>
      </w:pPr>
      <w:rPr>
        <w:rFonts w:ascii="Symbol" w:hAnsi="Symbol" w:hint="default"/>
      </w:rPr>
    </w:lvl>
    <w:lvl w:ilvl="7" w:tplc="00CCF634" w:tentative="1">
      <w:start w:val="1"/>
      <w:numFmt w:val="bullet"/>
      <w:lvlText w:val="o"/>
      <w:lvlJc w:val="left"/>
      <w:pPr>
        <w:ind w:left="5760" w:hanging="360"/>
      </w:pPr>
      <w:rPr>
        <w:rFonts w:ascii="Courier New" w:hAnsi="Courier New" w:cs="Courier New" w:hint="default"/>
      </w:rPr>
    </w:lvl>
    <w:lvl w:ilvl="8" w:tplc="F112FD36" w:tentative="1">
      <w:start w:val="1"/>
      <w:numFmt w:val="bullet"/>
      <w:lvlText w:val=""/>
      <w:lvlJc w:val="left"/>
      <w:pPr>
        <w:ind w:left="6480" w:hanging="360"/>
      </w:pPr>
      <w:rPr>
        <w:rFonts w:ascii="Wingdings" w:hAnsi="Wingdings" w:hint="default"/>
      </w:rPr>
    </w:lvl>
  </w:abstractNum>
  <w:abstractNum w:abstractNumId="12" w15:restartNumberingAfterBreak="0">
    <w:nsid w:val="3B65574B"/>
    <w:multiLevelType w:val="hybridMultilevel"/>
    <w:tmpl w:val="03C618DE"/>
    <w:lvl w:ilvl="0" w:tplc="5BB6F108">
      <w:start w:val="1"/>
      <w:numFmt w:val="bullet"/>
      <w:lvlText w:val=""/>
      <w:lvlJc w:val="left"/>
      <w:pPr>
        <w:ind w:left="720" w:hanging="360"/>
      </w:pPr>
      <w:rPr>
        <w:rFonts w:ascii="Symbol" w:hAnsi="Symbol" w:hint="default"/>
      </w:rPr>
    </w:lvl>
    <w:lvl w:ilvl="1" w:tplc="7818A18A" w:tentative="1">
      <w:start w:val="1"/>
      <w:numFmt w:val="bullet"/>
      <w:lvlText w:val="o"/>
      <w:lvlJc w:val="left"/>
      <w:pPr>
        <w:ind w:left="1440" w:hanging="360"/>
      </w:pPr>
      <w:rPr>
        <w:rFonts w:ascii="Courier New" w:hAnsi="Courier New" w:cs="Courier New" w:hint="default"/>
      </w:rPr>
    </w:lvl>
    <w:lvl w:ilvl="2" w:tplc="DD6C0D56" w:tentative="1">
      <w:start w:val="1"/>
      <w:numFmt w:val="bullet"/>
      <w:lvlText w:val=""/>
      <w:lvlJc w:val="left"/>
      <w:pPr>
        <w:ind w:left="2160" w:hanging="360"/>
      </w:pPr>
      <w:rPr>
        <w:rFonts w:ascii="Wingdings" w:hAnsi="Wingdings" w:hint="default"/>
      </w:rPr>
    </w:lvl>
    <w:lvl w:ilvl="3" w:tplc="0674CCFA" w:tentative="1">
      <w:start w:val="1"/>
      <w:numFmt w:val="bullet"/>
      <w:lvlText w:val=""/>
      <w:lvlJc w:val="left"/>
      <w:pPr>
        <w:ind w:left="2880" w:hanging="360"/>
      </w:pPr>
      <w:rPr>
        <w:rFonts w:ascii="Symbol" w:hAnsi="Symbol" w:hint="default"/>
      </w:rPr>
    </w:lvl>
    <w:lvl w:ilvl="4" w:tplc="2E62BA30" w:tentative="1">
      <w:start w:val="1"/>
      <w:numFmt w:val="bullet"/>
      <w:lvlText w:val="o"/>
      <w:lvlJc w:val="left"/>
      <w:pPr>
        <w:ind w:left="3600" w:hanging="360"/>
      </w:pPr>
      <w:rPr>
        <w:rFonts w:ascii="Courier New" w:hAnsi="Courier New" w:cs="Courier New" w:hint="default"/>
      </w:rPr>
    </w:lvl>
    <w:lvl w:ilvl="5" w:tplc="6DD06718" w:tentative="1">
      <w:start w:val="1"/>
      <w:numFmt w:val="bullet"/>
      <w:lvlText w:val=""/>
      <w:lvlJc w:val="left"/>
      <w:pPr>
        <w:ind w:left="4320" w:hanging="360"/>
      </w:pPr>
      <w:rPr>
        <w:rFonts w:ascii="Wingdings" w:hAnsi="Wingdings" w:hint="default"/>
      </w:rPr>
    </w:lvl>
    <w:lvl w:ilvl="6" w:tplc="8B2A3598" w:tentative="1">
      <w:start w:val="1"/>
      <w:numFmt w:val="bullet"/>
      <w:lvlText w:val=""/>
      <w:lvlJc w:val="left"/>
      <w:pPr>
        <w:ind w:left="5040" w:hanging="360"/>
      </w:pPr>
      <w:rPr>
        <w:rFonts w:ascii="Symbol" w:hAnsi="Symbol" w:hint="default"/>
      </w:rPr>
    </w:lvl>
    <w:lvl w:ilvl="7" w:tplc="8946B1A6" w:tentative="1">
      <w:start w:val="1"/>
      <w:numFmt w:val="bullet"/>
      <w:lvlText w:val="o"/>
      <w:lvlJc w:val="left"/>
      <w:pPr>
        <w:ind w:left="5760" w:hanging="360"/>
      </w:pPr>
      <w:rPr>
        <w:rFonts w:ascii="Courier New" w:hAnsi="Courier New" w:cs="Courier New" w:hint="default"/>
      </w:rPr>
    </w:lvl>
    <w:lvl w:ilvl="8" w:tplc="D6C4DAC6" w:tentative="1">
      <w:start w:val="1"/>
      <w:numFmt w:val="bullet"/>
      <w:lvlText w:val=""/>
      <w:lvlJc w:val="left"/>
      <w:pPr>
        <w:ind w:left="6480" w:hanging="360"/>
      </w:pPr>
      <w:rPr>
        <w:rFonts w:ascii="Wingdings" w:hAnsi="Wingdings" w:hint="default"/>
      </w:rPr>
    </w:lvl>
  </w:abstractNum>
  <w:abstractNum w:abstractNumId="13" w15:restartNumberingAfterBreak="0">
    <w:nsid w:val="440A70B8"/>
    <w:multiLevelType w:val="hybridMultilevel"/>
    <w:tmpl w:val="4064BEE2"/>
    <w:lvl w:ilvl="0" w:tplc="24AEA736">
      <w:start w:val="1"/>
      <w:numFmt w:val="bullet"/>
      <w:lvlText w:val=""/>
      <w:lvlJc w:val="left"/>
      <w:pPr>
        <w:tabs>
          <w:tab w:val="num" w:pos="648"/>
        </w:tabs>
        <w:ind w:left="648" w:hanging="360"/>
      </w:pPr>
      <w:rPr>
        <w:rFonts w:ascii="Symbol" w:hAnsi="Symbol" w:hint="default"/>
      </w:rPr>
    </w:lvl>
    <w:lvl w:ilvl="1" w:tplc="419C5CB2">
      <w:start w:val="1"/>
      <w:numFmt w:val="decimal"/>
      <w:lvlText w:val="(%2)"/>
      <w:lvlJc w:val="left"/>
      <w:pPr>
        <w:tabs>
          <w:tab w:val="num" w:pos="1800"/>
        </w:tabs>
        <w:ind w:left="1800" w:hanging="360"/>
      </w:pPr>
      <w:rPr>
        <w:rFonts w:hint="default"/>
      </w:rPr>
    </w:lvl>
    <w:lvl w:ilvl="2" w:tplc="777EC0D0" w:tentative="1">
      <w:start w:val="1"/>
      <w:numFmt w:val="lowerRoman"/>
      <w:lvlText w:val="%3."/>
      <w:lvlJc w:val="right"/>
      <w:pPr>
        <w:tabs>
          <w:tab w:val="num" w:pos="2520"/>
        </w:tabs>
        <w:ind w:left="2520" w:hanging="180"/>
      </w:pPr>
    </w:lvl>
    <w:lvl w:ilvl="3" w:tplc="A0542A8E" w:tentative="1">
      <w:start w:val="1"/>
      <w:numFmt w:val="decimal"/>
      <w:lvlText w:val="%4."/>
      <w:lvlJc w:val="left"/>
      <w:pPr>
        <w:tabs>
          <w:tab w:val="num" w:pos="3240"/>
        </w:tabs>
        <w:ind w:left="3240" w:hanging="360"/>
      </w:pPr>
    </w:lvl>
    <w:lvl w:ilvl="4" w:tplc="E8882C76" w:tentative="1">
      <w:start w:val="1"/>
      <w:numFmt w:val="lowerLetter"/>
      <w:lvlText w:val="%5."/>
      <w:lvlJc w:val="left"/>
      <w:pPr>
        <w:tabs>
          <w:tab w:val="num" w:pos="3960"/>
        </w:tabs>
        <w:ind w:left="3960" w:hanging="360"/>
      </w:pPr>
    </w:lvl>
    <w:lvl w:ilvl="5" w:tplc="2DEE65E6" w:tentative="1">
      <w:start w:val="1"/>
      <w:numFmt w:val="lowerRoman"/>
      <w:lvlText w:val="%6."/>
      <w:lvlJc w:val="right"/>
      <w:pPr>
        <w:tabs>
          <w:tab w:val="num" w:pos="4680"/>
        </w:tabs>
        <w:ind w:left="4680" w:hanging="180"/>
      </w:pPr>
    </w:lvl>
    <w:lvl w:ilvl="6" w:tplc="B1EEA79E" w:tentative="1">
      <w:start w:val="1"/>
      <w:numFmt w:val="decimal"/>
      <w:lvlText w:val="%7."/>
      <w:lvlJc w:val="left"/>
      <w:pPr>
        <w:tabs>
          <w:tab w:val="num" w:pos="5400"/>
        </w:tabs>
        <w:ind w:left="5400" w:hanging="360"/>
      </w:pPr>
    </w:lvl>
    <w:lvl w:ilvl="7" w:tplc="0046D654" w:tentative="1">
      <w:start w:val="1"/>
      <w:numFmt w:val="lowerLetter"/>
      <w:lvlText w:val="%8."/>
      <w:lvlJc w:val="left"/>
      <w:pPr>
        <w:tabs>
          <w:tab w:val="num" w:pos="6120"/>
        </w:tabs>
        <w:ind w:left="6120" w:hanging="360"/>
      </w:pPr>
    </w:lvl>
    <w:lvl w:ilvl="8" w:tplc="D0721B7C" w:tentative="1">
      <w:start w:val="1"/>
      <w:numFmt w:val="lowerRoman"/>
      <w:lvlText w:val="%9."/>
      <w:lvlJc w:val="right"/>
      <w:pPr>
        <w:tabs>
          <w:tab w:val="num" w:pos="6840"/>
        </w:tabs>
        <w:ind w:left="6840" w:hanging="180"/>
      </w:pPr>
    </w:lvl>
  </w:abstractNum>
  <w:abstractNum w:abstractNumId="14" w15:restartNumberingAfterBreak="0">
    <w:nsid w:val="45354544"/>
    <w:multiLevelType w:val="hybridMultilevel"/>
    <w:tmpl w:val="2BA0EC6E"/>
    <w:lvl w:ilvl="0" w:tplc="2E8E5C98">
      <w:start w:val="1"/>
      <w:numFmt w:val="bullet"/>
      <w:lvlText w:val=""/>
      <w:lvlJc w:val="left"/>
      <w:pPr>
        <w:ind w:left="1080" w:hanging="360"/>
      </w:pPr>
      <w:rPr>
        <w:rFonts w:ascii="Wingdings" w:hAnsi="Wingdings" w:hint="default"/>
        <w:b/>
        <w:i w:val="0"/>
        <w:sz w:val="28"/>
        <w:u w:color="C00000"/>
      </w:rPr>
    </w:lvl>
    <w:lvl w:ilvl="1" w:tplc="8666852A" w:tentative="1">
      <w:start w:val="1"/>
      <w:numFmt w:val="bullet"/>
      <w:lvlText w:val="o"/>
      <w:lvlJc w:val="left"/>
      <w:pPr>
        <w:ind w:left="1800" w:hanging="360"/>
      </w:pPr>
      <w:rPr>
        <w:rFonts w:ascii="Courier New" w:hAnsi="Courier New" w:cs="Courier New" w:hint="default"/>
      </w:rPr>
    </w:lvl>
    <w:lvl w:ilvl="2" w:tplc="00A88844" w:tentative="1">
      <w:start w:val="1"/>
      <w:numFmt w:val="bullet"/>
      <w:lvlText w:val=""/>
      <w:lvlJc w:val="left"/>
      <w:pPr>
        <w:ind w:left="2520" w:hanging="360"/>
      </w:pPr>
      <w:rPr>
        <w:rFonts w:ascii="Wingdings" w:hAnsi="Wingdings" w:hint="default"/>
      </w:rPr>
    </w:lvl>
    <w:lvl w:ilvl="3" w:tplc="3A88D272" w:tentative="1">
      <w:start w:val="1"/>
      <w:numFmt w:val="bullet"/>
      <w:lvlText w:val=""/>
      <w:lvlJc w:val="left"/>
      <w:pPr>
        <w:ind w:left="3240" w:hanging="360"/>
      </w:pPr>
      <w:rPr>
        <w:rFonts w:ascii="Symbol" w:hAnsi="Symbol" w:hint="default"/>
      </w:rPr>
    </w:lvl>
    <w:lvl w:ilvl="4" w:tplc="1214D9DA" w:tentative="1">
      <w:start w:val="1"/>
      <w:numFmt w:val="bullet"/>
      <w:lvlText w:val="o"/>
      <w:lvlJc w:val="left"/>
      <w:pPr>
        <w:ind w:left="3960" w:hanging="360"/>
      </w:pPr>
      <w:rPr>
        <w:rFonts w:ascii="Courier New" w:hAnsi="Courier New" w:cs="Courier New" w:hint="default"/>
      </w:rPr>
    </w:lvl>
    <w:lvl w:ilvl="5" w:tplc="0C6E11FC" w:tentative="1">
      <w:start w:val="1"/>
      <w:numFmt w:val="bullet"/>
      <w:lvlText w:val=""/>
      <w:lvlJc w:val="left"/>
      <w:pPr>
        <w:ind w:left="4680" w:hanging="360"/>
      </w:pPr>
      <w:rPr>
        <w:rFonts w:ascii="Wingdings" w:hAnsi="Wingdings" w:hint="default"/>
      </w:rPr>
    </w:lvl>
    <w:lvl w:ilvl="6" w:tplc="50FA19D2" w:tentative="1">
      <w:start w:val="1"/>
      <w:numFmt w:val="bullet"/>
      <w:lvlText w:val=""/>
      <w:lvlJc w:val="left"/>
      <w:pPr>
        <w:ind w:left="5400" w:hanging="360"/>
      </w:pPr>
      <w:rPr>
        <w:rFonts w:ascii="Symbol" w:hAnsi="Symbol" w:hint="default"/>
      </w:rPr>
    </w:lvl>
    <w:lvl w:ilvl="7" w:tplc="F980400A" w:tentative="1">
      <w:start w:val="1"/>
      <w:numFmt w:val="bullet"/>
      <w:lvlText w:val="o"/>
      <w:lvlJc w:val="left"/>
      <w:pPr>
        <w:ind w:left="6120" w:hanging="360"/>
      </w:pPr>
      <w:rPr>
        <w:rFonts w:ascii="Courier New" w:hAnsi="Courier New" w:cs="Courier New" w:hint="default"/>
      </w:rPr>
    </w:lvl>
    <w:lvl w:ilvl="8" w:tplc="177C2E12" w:tentative="1">
      <w:start w:val="1"/>
      <w:numFmt w:val="bullet"/>
      <w:lvlText w:val=""/>
      <w:lvlJc w:val="left"/>
      <w:pPr>
        <w:ind w:left="6840" w:hanging="360"/>
      </w:pPr>
      <w:rPr>
        <w:rFonts w:ascii="Wingdings" w:hAnsi="Wingdings" w:hint="default"/>
      </w:rPr>
    </w:lvl>
  </w:abstractNum>
  <w:abstractNum w:abstractNumId="15" w15:restartNumberingAfterBreak="0">
    <w:nsid w:val="4A0A2580"/>
    <w:multiLevelType w:val="hybridMultilevel"/>
    <w:tmpl w:val="9D949EE6"/>
    <w:lvl w:ilvl="0" w:tplc="1BB09F24">
      <w:start w:val="1"/>
      <w:numFmt w:val="bullet"/>
      <w:lvlText w:val=""/>
      <w:lvlJc w:val="left"/>
      <w:pPr>
        <w:ind w:left="2160" w:hanging="360"/>
      </w:pPr>
      <w:rPr>
        <w:rFonts w:ascii="Symbol" w:hAnsi="Symbol" w:hint="default"/>
      </w:rPr>
    </w:lvl>
    <w:lvl w:ilvl="1" w:tplc="B644E6EC" w:tentative="1">
      <w:start w:val="1"/>
      <w:numFmt w:val="bullet"/>
      <w:lvlText w:val="o"/>
      <w:lvlJc w:val="left"/>
      <w:pPr>
        <w:ind w:left="2880" w:hanging="360"/>
      </w:pPr>
      <w:rPr>
        <w:rFonts w:ascii="Courier New" w:hAnsi="Courier New" w:cs="Courier New" w:hint="default"/>
      </w:rPr>
    </w:lvl>
    <w:lvl w:ilvl="2" w:tplc="AC90AD5A" w:tentative="1">
      <w:start w:val="1"/>
      <w:numFmt w:val="bullet"/>
      <w:lvlText w:val=""/>
      <w:lvlJc w:val="left"/>
      <w:pPr>
        <w:ind w:left="3600" w:hanging="360"/>
      </w:pPr>
      <w:rPr>
        <w:rFonts w:ascii="Wingdings" w:hAnsi="Wingdings" w:hint="default"/>
      </w:rPr>
    </w:lvl>
    <w:lvl w:ilvl="3" w:tplc="029A2890" w:tentative="1">
      <w:start w:val="1"/>
      <w:numFmt w:val="bullet"/>
      <w:lvlText w:val=""/>
      <w:lvlJc w:val="left"/>
      <w:pPr>
        <w:ind w:left="4320" w:hanging="360"/>
      </w:pPr>
      <w:rPr>
        <w:rFonts w:ascii="Symbol" w:hAnsi="Symbol" w:hint="default"/>
      </w:rPr>
    </w:lvl>
    <w:lvl w:ilvl="4" w:tplc="755EF57A" w:tentative="1">
      <w:start w:val="1"/>
      <w:numFmt w:val="bullet"/>
      <w:lvlText w:val="o"/>
      <w:lvlJc w:val="left"/>
      <w:pPr>
        <w:ind w:left="5040" w:hanging="360"/>
      </w:pPr>
      <w:rPr>
        <w:rFonts w:ascii="Courier New" w:hAnsi="Courier New" w:cs="Courier New" w:hint="default"/>
      </w:rPr>
    </w:lvl>
    <w:lvl w:ilvl="5" w:tplc="E136706C" w:tentative="1">
      <w:start w:val="1"/>
      <w:numFmt w:val="bullet"/>
      <w:lvlText w:val=""/>
      <w:lvlJc w:val="left"/>
      <w:pPr>
        <w:ind w:left="5760" w:hanging="360"/>
      </w:pPr>
      <w:rPr>
        <w:rFonts w:ascii="Wingdings" w:hAnsi="Wingdings" w:hint="default"/>
      </w:rPr>
    </w:lvl>
    <w:lvl w:ilvl="6" w:tplc="5BA673FC" w:tentative="1">
      <w:start w:val="1"/>
      <w:numFmt w:val="bullet"/>
      <w:lvlText w:val=""/>
      <w:lvlJc w:val="left"/>
      <w:pPr>
        <w:ind w:left="6480" w:hanging="360"/>
      </w:pPr>
      <w:rPr>
        <w:rFonts w:ascii="Symbol" w:hAnsi="Symbol" w:hint="default"/>
      </w:rPr>
    </w:lvl>
    <w:lvl w:ilvl="7" w:tplc="2B14EA0E" w:tentative="1">
      <w:start w:val="1"/>
      <w:numFmt w:val="bullet"/>
      <w:lvlText w:val="o"/>
      <w:lvlJc w:val="left"/>
      <w:pPr>
        <w:ind w:left="7200" w:hanging="360"/>
      </w:pPr>
      <w:rPr>
        <w:rFonts w:ascii="Courier New" w:hAnsi="Courier New" w:cs="Courier New" w:hint="default"/>
      </w:rPr>
    </w:lvl>
    <w:lvl w:ilvl="8" w:tplc="A8B24378" w:tentative="1">
      <w:start w:val="1"/>
      <w:numFmt w:val="bullet"/>
      <w:lvlText w:val=""/>
      <w:lvlJc w:val="left"/>
      <w:pPr>
        <w:ind w:left="7920" w:hanging="360"/>
      </w:pPr>
      <w:rPr>
        <w:rFonts w:ascii="Wingdings" w:hAnsi="Wingdings" w:hint="default"/>
      </w:rPr>
    </w:lvl>
  </w:abstractNum>
  <w:abstractNum w:abstractNumId="16" w15:restartNumberingAfterBreak="0">
    <w:nsid w:val="4A612B65"/>
    <w:multiLevelType w:val="hybridMultilevel"/>
    <w:tmpl w:val="9C6C5F24"/>
    <w:lvl w:ilvl="0" w:tplc="7BB2C59C">
      <w:start w:val="1"/>
      <w:numFmt w:val="bullet"/>
      <w:lvlText w:val=""/>
      <w:lvlJc w:val="left"/>
      <w:pPr>
        <w:ind w:left="720" w:hanging="360"/>
      </w:pPr>
      <w:rPr>
        <w:rFonts w:ascii="Symbol" w:hAnsi="Symbol" w:hint="default"/>
      </w:rPr>
    </w:lvl>
    <w:lvl w:ilvl="1" w:tplc="715A0CB8">
      <w:numFmt w:val="bullet"/>
      <w:lvlText w:val="•"/>
      <w:lvlJc w:val="left"/>
      <w:pPr>
        <w:ind w:left="1800" w:hanging="720"/>
      </w:pPr>
      <w:rPr>
        <w:rFonts w:ascii="Calibri" w:eastAsia="Calibri" w:hAnsi="Calibri" w:cs="Calibri" w:hint="default"/>
      </w:rPr>
    </w:lvl>
    <w:lvl w:ilvl="2" w:tplc="64E4DD28" w:tentative="1">
      <w:start w:val="1"/>
      <w:numFmt w:val="bullet"/>
      <w:lvlText w:val=""/>
      <w:lvlJc w:val="left"/>
      <w:pPr>
        <w:ind w:left="2160" w:hanging="360"/>
      </w:pPr>
      <w:rPr>
        <w:rFonts w:ascii="Wingdings" w:hAnsi="Wingdings" w:hint="default"/>
      </w:rPr>
    </w:lvl>
    <w:lvl w:ilvl="3" w:tplc="F566CE4E" w:tentative="1">
      <w:start w:val="1"/>
      <w:numFmt w:val="bullet"/>
      <w:lvlText w:val=""/>
      <w:lvlJc w:val="left"/>
      <w:pPr>
        <w:ind w:left="2880" w:hanging="360"/>
      </w:pPr>
      <w:rPr>
        <w:rFonts w:ascii="Symbol" w:hAnsi="Symbol" w:hint="default"/>
      </w:rPr>
    </w:lvl>
    <w:lvl w:ilvl="4" w:tplc="1A28C34C" w:tentative="1">
      <w:start w:val="1"/>
      <w:numFmt w:val="bullet"/>
      <w:lvlText w:val="o"/>
      <w:lvlJc w:val="left"/>
      <w:pPr>
        <w:ind w:left="3600" w:hanging="360"/>
      </w:pPr>
      <w:rPr>
        <w:rFonts w:ascii="Courier New" w:hAnsi="Courier New" w:cs="Courier New" w:hint="default"/>
      </w:rPr>
    </w:lvl>
    <w:lvl w:ilvl="5" w:tplc="DE448746" w:tentative="1">
      <w:start w:val="1"/>
      <w:numFmt w:val="bullet"/>
      <w:lvlText w:val=""/>
      <w:lvlJc w:val="left"/>
      <w:pPr>
        <w:ind w:left="4320" w:hanging="360"/>
      </w:pPr>
      <w:rPr>
        <w:rFonts w:ascii="Wingdings" w:hAnsi="Wingdings" w:hint="default"/>
      </w:rPr>
    </w:lvl>
    <w:lvl w:ilvl="6" w:tplc="2FBA3B00" w:tentative="1">
      <w:start w:val="1"/>
      <w:numFmt w:val="bullet"/>
      <w:lvlText w:val=""/>
      <w:lvlJc w:val="left"/>
      <w:pPr>
        <w:ind w:left="5040" w:hanging="360"/>
      </w:pPr>
      <w:rPr>
        <w:rFonts w:ascii="Symbol" w:hAnsi="Symbol" w:hint="default"/>
      </w:rPr>
    </w:lvl>
    <w:lvl w:ilvl="7" w:tplc="B89CEA94" w:tentative="1">
      <w:start w:val="1"/>
      <w:numFmt w:val="bullet"/>
      <w:lvlText w:val="o"/>
      <w:lvlJc w:val="left"/>
      <w:pPr>
        <w:ind w:left="5760" w:hanging="360"/>
      </w:pPr>
      <w:rPr>
        <w:rFonts w:ascii="Courier New" w:hAnsi="Courier New" w:cs="Courier New" w:hint="default"/>
      </w:rPr>
    </w:lvl>
    <w:lvl w:ilvl="8" w:tplc="ED7404DC" w:tentative="1">
      <w:start w:val="1"/>
      <w:numFmt w:val="bullet"/>
      <w:lvlText w:val=""/>
      <w:lvlJc w:val="left"/>
      <w:pPr>
        <w:ind w:left="6480" w:hanging="360"/>
      </w:pPr>
      <w:rPr>
        <w:rFonts w:ascii="Wingdings" w:hAnsi="Wingdings" w:hint="default"/>
      </w:rPr>
    </w:lvl>
  </w:abstractNum>
  <w:abstractNum w:abstractNumId="17" w15:restartNumberingAfterBreak="0">
    <w:nsid w:val="4F066AF4"/>
    <w:multiLevelType w:val="hybridMultilevel"/>
    <w:tmpl w:val="A22AD26E"/>
    <w:lvl w:ilvl="0" w:tplc="29CA7110">
      <w:start w:val="1"/>
      <w:numFmt w:val="bullet"/>
      <w:lvlText w:val=""/>
      <w:lvlJc w:val="left"/>
      <w:pPr>
        <w:ind w:left="2160" w:hanging="360"/>
      </w:pPr>
      <w:rPr>
        <w:rFonts w:ascii="Symbol" w:hAnsi="Symbol" w:hint="default"/>
      </w:rPr>
    </w:lvl>
    <w:lvl w:ilvl="1" w:tplc="FD3A1C6C" w:tentative="1">
      <w:start w:val="1"/>
      <w:numFmt w:val="bullet"/>
      <w:lvlText w:val="o"/>
      <w:lvlJc w:val="left"/>
      <w:pPr>
        <w:ind w:left="2880" w:hanging="360"/>
      </w:pPr>
      <w:rPr>
        <w:rFonts w:ascii="Courier New" w:hAnsi="Courier New" w:cs="Courier New" w:hint="default"/>
      </w:rPr>
    </w:lvl>
    <w:lvl w:ilvl="2" w:tplc="DAAEBE60" w:tentative="1">
      <w:start w:val="1"/>
      <w:numFmt w:val="bullet"/>
      <w:lvlText w:val=""/>
      <w:lvlJc w:val="left"/>
      <w:pPr>
        <w:ind w:left="3600" w:hanging="360"/>
      </w:pPr>
      <w:rPr>
        <w:rFonts w:ascii="Wingdings" w:hAnsi="Wingdings" w:hint="default"/>
      </w:rPr>
    </w:lvl>
    <w:lvl w:ilvl="3" w:tplc="E8A21C3A" w:tentative="1">
      <w:start w:val="1"/>
      <w:numFmt w:val="bullet"/>
      <w:lvlText w:val=""/>
      <w:lvlJc w:val="left"/>
      <w:pPr>
        <w:ind w:left="4320" w:hanging="360"/>
      </w:pPr>
      <w:rPr>
        <w:rFonts w:ascii="Symbol" w:hAnsi="Symbol" w:hint="default"/>
      </w:rPr>
    </w:lvl>
    <w:lvl w:ilvl="4" w:tplc="5D4207C2" w:tentative="1">
      <w:start w:val="1"/>
      <w:numFmt w:val="bullet"/>
      <w:lvlText w:val="o"/>
      <w:lvlJc w:val="left"/>
      <w:pPr>
        <w:ind w:left="5040" w:hanging="360"/>
      </w:pPr>
      <w:rPr>
        <w:rFonts w:ascii="Courier New" w:hAnsi="Courier New" w:cs="Courier New" w:hint="default"/>
      </w:rPr>
    </w:lvl>
    <w:lvl w:ilvl="5" w:tplc="074A26BC" w:tentative="1">
      <w:start w:val="1"/>
      <w:numFmt w:val="bullet"/>
      <w:lvlText w:val=""/>
      <w:lvlJc w:val="left"/>
      <w:pPr>
        <w:ind w:left="5760" w:hanging="360"/>
      </w:pPr>
      <w:rPr>
        <w:rFonts w:ascii="Wingdings" w:hAnsi="Wingdings" w:hint="default"/>
      </w:rPr>
    </w:lvl>
    <w:lvl w:ilvl="6" w:tplc="68448ABA" w:tentative="1">
      <w:start w:val="1"/>
      <w:numFmt w:val="bullet"/>
      <w:lvlText w:val=""/>
      <w:lvlJc w:val="left"/>
      <w:pPr>
        <w:ind w:left="6480" w:hanging="360"/>
      </w:pPr>
      <w:rPr>
        <w:rFonts w:ascii="Symbol" w:hAnsi="Symbol" w:hint="default"/>
      </w:rPr>
    </w:lvl>
    <w:lvl w:ilvl="7" w:tplc="80BE5806" w:tentative="1">
      <w:start w:val="1"/>
      <w:numFmt w:val="bullet"/>
      <w:lvlText w:val="o"/>
      <w:lvlJc w:val="left"/>
      <w:pPr>
        <w:ind w:left="7200" w:hanging="360"/>
      </w:pPr>
      <w:rPr>
        <w:rFonts w:ascii="Courier New" w:hAnsi="Courier New" w:cs="Courier New" w:hint="default"/>
      </w:rPr>
    </w:lvl>
    <w:lvl w:ilvl="8" w:tplc="70FE5B64" w:tentative="1">
      <w:start w:val="1"/>
      <w:numFmt w:val="bullet"/>
      <w:lvlText w:val=""/>
      <w:lvlJc w:val="left"/>
      <w:pPr>
        <w:ind w:left="7920" w:hanging="360"/>
      </w:pPr>
      <w:rPr>
        <w:rFonts w:ascii="Wingdings" w:hAnsi="Wingdings" w:hint="default"/>
      </w:rPr>
    </w:lvl>
  </w:abstractNum>
  <w:abstractNum w:abstractNumId="18" w15:restartNumberingAfterBreak="0">
    <w:nsid w:val="4F292FBA"/>
    <w:multiLevelType w:val="hybridMultilevel"/>
    <w:tmpl w:val="449699F4"/>
    <w:lvl w:ilvl="0" w:tplc="5C8E1A8E">
      <w:start w:val="1"/>
      <w:numFmt w:val="bullet"/>
      <w:lvlText w:val=""/>
      <w:lvlJc w:val="left"/>
      <w:pPr>
        <w:ind w:left="720" w:hanging="360"/>
      </w:pPr>
      <w:rPr>
        <w:rFonts w:ascii="Symbol" w:hAnsi="Symbol" w:hint="default"/>
      </w:rPr>
    </w:lvl>
    <w:lvl w:ilvl="1" w:tplc="0C8805CA" w:tentative="1">
      <w:start w:val="1"/>
      <w:numFmt w:val="bullet"/>
      <w:lvlText w:val="o"/>
      <w:lvlJc w:val="left"/>
      <w:pPr>
        <w:ind w:left="1440" w:hanging="360"/>
      </w:pPr>
      <w:rPr>
        <w:rFonts w:ascii="Courier New" w:hAnsi="Courier New" w:cs="Courier New" w:hint="default"/>
      </w:rPr>
    </w:lvl>
    <w:lvl w:ilvl="2" w:tplc="658E95DA" w:tentative="1">
      <w:start w:val="1"/>
      <w:numFmt w:val="bullet"/>
      <w:lvlText w:val=""/>
      <w:lvlJc w:val="left"/>
      <w:pPr>
        <w:ind w:left="2160" w:hanging="360"/>
      </w:pPr>
      <w:rPr>
        <w:rFonts w:ascii="Wingdings" w:hAnsi="Wingdings" w:hint="default"/>
      </w:rPr>
    </w:lvl>
    <w:lvl w:ilvl="3" w:tplc="4172065C" w:tentative="1">
      <w:start w:val="1"/>
      <w:numFmt w:val="bullet"/>
      <w:lvlText w:val=""/>
      <w:lvlJc w:val="left"/>
      <w:pPr>
        <w:ind w:left="2880" w:hanging="360"/>
      </w:pPr>
      <w:rPr>
        <w:rFonts w:ascii="Symbol" w:hAnsi="Symbol" w:hint="default"/>
      </w:rPr>
    </w:lvl>
    <w:lvl w:ilvl="4" w:tplc="48181A56" w:tentative="1">
      <w:start w:val="1"/>
      <w:numFmt w:val="bullet"/>
      <w:lvlText w:val="o"/>
      <w:lvlJc w:val="left"/>
      <w:pPr>
        <w:ind w:left="3600" w:hanging="360"/>
      </w:pPr>
      <w:rPr>
        <w:rFonts w:ascii="Courier New" w:hAnsi="Courier New" w:cs="Courier New" w:hint="default"/>
      </w:rPr>
    </w:lvl>
    <w:lvl w:ilvl="5" w:tplc="DE1A0BAE" w:tentative="1">
      <w:start w:val="1"/>
      <w:numFmt w:val="bullet"/>
      <w:lvlText w:val=""/>
      <w:lvlJc w:val="left"/>
      <w:pPr>
        <w:ind w:left="4320" w:hanging="360"/>
      </w:pPr>
      <w:rPr>
        <w:rFonts w:ascii="Wingdings" w:hAnsi="Wingdings" w:hint="default"/>
      </w:rPr>
    </w:lvl>
    <w:lvl w:ilvl="6" w:tplc="59B60150" w:tentative="1">
      <w:start w:val="1"/>
      <w:numFmt w:val="bullet"/>
      <w:lvlText w:val=""/>
      <w:lvlJc w:val="left"/>
      <w:pPr>
        <w:ind w:left="5040" w:hanging="360"/>
      </w:pPr>
      <w:rPr>
        <w:rFonts w:ascii="Symbol" w:hAnsi="Symbol" w:hint="default"/>
      </w:rPr>
    </w:lvl>
    <w:lvl w:ilvl="7" w:tplc="A28678FC" w:tentative="1">
      <w:start w:val="1"/>
      <w:numFmt w:val="bullet"/>
      <w:lvlText w:val="o"/>
      <w:lvlJc w:val="left"/>
      <w:pPr>
        <w:ind w:left="5760" w:hanging="360"/>
      </w:pPr>
      <w:rPr>
        <w:rFonts w:ascii="Courier New" w:hAnsi="Courier New" w:cs="Courier New" w:hint="default"/>
      </w:rPr>
    </w:lvl>
    <w:lvl w:ilvl="8" w:tplc="D520C1A2" w:tentative="1">
      <w:start w:val="1"/>
      <w:numFmt w:val="bullet"/>
      <w:lvlText w:val=""/>
      <w:lvlJc w:val="left"/>
      <w:pPr>
        <w:ind w:left="6480" w:hanging="360"/>
      </w:pPr>
      <w:rPr>
        <w:rFonts w:ascii="Wingdings" w:hAnsi="Wingdings" w:hint="default"/>
      </w:rPr>
    </w:lvl>
  </w:abstractNum>
  <w:abstractNum w:abstractNumId="19" w15:restartNumberingAfterBreak="0">
    <w:nsid w:val="4FDE4D32"/>
    <w:multiLevelType w:val="singleLevel"/>
    <w:tmpl w:val="97D68B50"/>
    <w:lvl w:ilvl="0">
      <w:start w:val="1"/>
      <w:numFmt w:val="decimal"/>
      <w:lvlText w:val="%1."/>
      <w:legacy w:legacy="1" w:legacySpace="0" w:legacyIndent="360"/>
      <w:lvlJc w:val="left"/>
      <w:pPr>
        <w:ind w:left="360" w:hanging="360"/>
      </w:pPr>
    </w:lvl>
  </w:abstractNum>
  <w:abstractNum w:abstractNumId="20" w15:restartNumberingAfterBreak="0">
    <w:nsid w:val="518B190E"/>
    <w:multiLevelType w:val="hybridMultilevel"/>
    <w:tmpl w:val="DA22DCCC"/>
    <w:lvl w:ilvl="0" w:tplc="A63243CC">
      <w:start w:val="1"/>
      <w:numFmt w:val="bullet"/>
      <w:lvlText w:val=""/>
      <w:lvlJc w:val="left"/>
      <w:pPr>
        <w:ind w:left="2160" w:hanging="360"/>
      </w:pPr>
      <w:rPr>
        <w:rFonts w:ascii="Symbol" w:hAnsi="Symbol" w:hint="default"/>
      </w:rPr>
    </w:lvl>
    <w:lvl w:ilvl="1" w:tplc="5930F8BE" w:tentative="1">
      <w:start w:val="1"/>
      <w:numFmt w:val="bullet"/>
      <w:lvlText w:val="o"/>
      <w:lvlJc w:val="left"/>
      <w:pPr>
        <w:ind w:left="2880" w:hanging="360"/>
      </w:pPr>
      <w:rPr>
        <w:rFonts w:ascii="Courier New" w:hAnsi="Courier New" w:cs="Courier New" w:hint="default"/>
      </w:rPr>
    </w:lvl>
    <w:lvl w:ilvl="2" w:tplc="58AC29CE" w:tentative="1">
      <w:start w:val="1"/>
      <w:numFmt w:val="bullet"/>
      <w:lvlText w:val=""/>
      <w:lvlJc w:val="left"/>
      <w:pPr>
        <w:ind w:left="3600" w:hanging="360"/>
      </w:pPr>
      <w:rPr>
        <w:rFonts w:ascii="Wingdings" w:hAnsi="Wingdings" w:hint="default"/>
      </w:rPr>
    </w:lvl>
    <w:lvl w:ilvl="3" w:tplc="501A60D2" w:tentative="1">
      <w:start w:val="1"/>
      <w:numFmt w:val="bullet"/>
      <w:lvlText w:val=""/>
      <w:lvlJc w:val="left"/>
      <w:pPr>
        <w:ind w:left="4320" w:hanging="360"/>
      </w:pPr>
      <w:rPr>
        <w:rFonts w:ascii="Symbol" w:hAnsi="Symbol" w:hint="default"/>
      </w:rPr>
    </w:lvl>
    <w:lvl w:ilvl="4" w:tplc="B7969500" w:tentative="1">
      <w:start w:val="1"/>
      <w:numFmt w:val="bullet"/>
      <w:lvlText w:val="o"/>
      <w:lvlJc w:val="left"/>
      <w:pPr>
        <w:ind w:left="5040" w:hanging="360"/>
      </w:pPr>
      <w:rPr>
        <w:rFonts w:ascii="Courier New" w:hAnsi="Courier New" w:cs="Courier New" w:hint="default"/>
      </w:rPr>
    </w:lvl>
    <w:lvl w:ilvl="5" w:tplc="9F78365E" w:tentative="1">
      <w:start w:val="1"/>
      <w:numFmt w:val="bullet"/>
      <w:lvlText w:val=""/>
      <w:lvlJc w:val="left"/>
      <w:pPr>
        <w:ind w:left="5760" w:hanging="360"/>
      </w:pPr>
      <w:rPr>
        <w:rFonts w:ascii="Wingdings" w:hAnsi="Wingdings" w:hint="default"/>
      </w:rPr>
    </w:lvl>
    <w:lvl w:ilvl="6" w:tplc="2CAC50F6" w:tentative="1">
      <w:start w:val="1"/>
      <w:numFmt w:val="bullet"/>
      <w:lvlText w:val=""/>
      <w:lvlJc w:val="left"/>
      <w:pPr>
        <w:ind w:left="6480" w:hanging="360"/>
      </w:pPr>
      <w:rPr>
        <w:rFonts w:ascii="Symbol" w:hAnsi="Symbol" w:hint="default"/>
      </w:rPr>
    </w:lvl>
    <w:lvl w:ilvl="7" w:tplc="508C720A" w:tentative="1">
      <w:start w:val="1"/>
      <w:numFmt w:val="bullet"/>
      <w:lvlText w:val="o"/>
      <w:lvlJc w:val="left"/>
      <w:pPr>
        <w:ind w:left="7200" w:hanging="360"/>
      </w:pPr>
      <w:rPr>
        <w:rFonts w:ascii="Courier New" w:hAnsi="Courier New" w:cs="Courier New" w:hint="default"/>
      </w:rPr>
    </w:lvl>
    <w:lvl w:ilvl="8" w:tplc="50E4C1D0" w:tentative="1">
      <w:start w:val="1"/>
      <w:numFmt w:val="bullet"/>
      <w:lvlText w:val=""/>
      <w:lvlJc w:val="left"/>
      <w:pPr>
        <w:ind w:left="7920" w:hanging="360"/>
      </w:pPr>
      <w:rPr>
        <w:rFonts w:ascii="Wingdings" w:hAnsi="Wingdings" w:hint="default"/>
      </w:rPr>
    </w:lvl>
  </w:abstractNum>
  <w:abstractNum w:abstractNumId="21" w15:restartNumberingAfterBreak="0">
    <w:nsid w:val="592414E7"/>
    <w:multiLevelType w:val="hybridMultilevel"/>
    <w:tmpl w:val="0724549E"/>
    <w:lvl w:ilvl="0" w:tplc="F7563B7C">
      <w:start w:val="1"/>
      <w:numFmt w:val="bullet"/>
      <w:lvlText w:val=""/>
      <w:lvlJc w:val="left"/>
      <w:pPr>
        <w:ind w:left="720" w:hanging="360"/>
      </w:pPr>
      <w:rPr>
        <w:rFonts w:ascii="Symbol" w:hAnsi="Symbol" w:hint="default"/>
      </w:rPr>
    </w:lvl>
    <w:lvl w:ilvl="1" w:tplc="74FA1034" w:tentative="1">
      <w:start w:val="1"/>
      <w:numFmt w:val="bullet"/>
      <w:lvlText w:val="o"/>
      <w:lvlJc w:val="left"/>
      <w:pPr>
        <w:ind w:left="1440" w:hanging="360"/>
      </w:pPr>
      <w:rPr>
        <w:rFonts w:ascii="Courier New" w:hAnsi="Courier New" w:cs="Courier New" w:hint="default"/>
      </w:rPr>
    </w:lvl>
    <w:lvl w:ilvl="2" w:tplc="F3165B86" w:tentative="1">
      <w:start w:val="1"/>
      <w:numFmt w:val="bullet"/>
      <w:lvlText w:val=""/>
      <w:lvlJc w:val="left"/>
      <w:pPr>
        <w:ind w:left="2160" w:hanging="360"/>
      </w:pPr>
      <w:rPr>
        <w:rFonts w:ascii="Wingdings" w:hAnsi="Wingdings" w:hint="default"/>
      </w:rPr>
    </w:lvl>
    <w:lvl w:ilvl="3" w:tplc="991675B8" w:tentative="1">
      <w:start w:val="1"/>
      <w:numFmt w:val="bullet"/>
      <w:lvlText w:val=""/>
      <w:lvlJc w:val="left"/>
      <w:pPr>
        <w:ind w:left="2880" w:hanging="360"/>
      </w:pPr>
      <w:rPr>
        <w:rFonts w:ascii="Symbol" w:hAnsi="Symbol" w:hint="default"/>
      </w:rPr>
    </w:lvl>
    <w:lvl w:ilvl="4" w:tplc="A962B12A" w:tentative="1">
      <w:start w:val="1"/>
      <w:numFmt w:val="bullet"/>
      <w:lvlText w:val="o"/>
      <w:lvlJc w:val="left"/>
      <w:pPr>
        <w:ind w:left="3600" w:hanging="360"/>
      </w:pPr>
      <w:rPr>
        <w:rFonts w:ascii="Courier New" w:hAnsi="Courier New" w:cs="Courier New" w:hint="default"/>
      </w:rPr>
    </w:lvl>
    <w:lvl w:ilvl="5" w:tplc="0BAAE308" w:tentative="1">
      <w:start w:val="1"/>
      <w:numFmt w:val="bullet"/>
      <w:lvlText w:val=""/>
      <w:lvlJc w:val="left"/>
      <w:pPr>
        <w:ind w:left="4320" w:hanging="360"/>
      </w:pPr>
      <w:rPr>
        <w:rFonts w:ascii="Wingdings" w:hAnsi="Wingdings" w:hint="default"/>
      </w:rPr>
    </w:lvl>
    <w:lvl w:ilvl="6" w:tplc="57385104" w:tentative="1">
      <w:start w:val="1"/>
      <w:numFmt w:val="bullet"/>
      <w:lvlText w:val=""/>
      <w:lvlJc w:val="left"/>
      <w:pPr>
        <w:ind w:left="5040" w:hanging="360"/>
      </w:pPr>
      <w:rPr>
        <w:rFonts w:ascii="Symbol" w:hAnsi="Symbol" w:hint="default"/>
      </w:rPr>
    </w:lvl>
    <w:lvl w:ilvl="7" w:tplc="786C220E" w:tentative="1">
      <w:start w:val="1"/>
      <w:numFmt w:val="bullet"/>
      <w:lvlText w:val="o"/>
      <w:lvlJc w:val="left"/>
      <w:pPr>
        <w:ind w:left="5760" w:hanging="360"/>
      </w:pPr>
      <w:rPr>
        <w:rFonts w:ascii="Courier New" w:hAnsi="Courier New" w:cs="Courier New" w:hint="default"/>
      </w:rPr>
    </w:lvl>
    <w:lvl w:ilvl="8" w:tplc="C4C8A134" w:tentative="1">
      <w:start w:val="1"/>
      <w:numFmt w:val="bullet"/>
      <w:lvlText w:val=""/>
      <w:lvlJc w:val="left"/>
      <w:pPr>
        <w:ind w:left="6480" w:hanging="360"/>
      </w:pPr>
      <w:rPr>
        <w:rFonts w:ascii="Wingdings" w:hAnsi="Wingdings" w:hint="default"/>
      </w:rPr>
    </w:lvl>
  </w:abstractNum>
  <w:abstractNum w:abstractNumId="22" w15:restartNumberingAfterBreak="0">
    <w:nsid w:val="5AF82633"/>
    <w:multiLevelType w:val="hybridMultilevel"/>
    <w:tmpl w:val="BF00DC38"/>
    <w:lvl w:ilvl="0" w:tplc="C17EA83A">
      <w:start w:val="1"/>
      <w:numFmt w:val="bullet"/>
      <w:lvlText w:val=""/>
      <w:lvlJc w:val="left"/>
      <w:pPr>
        <w:ind w:left="720" w:hanging="360"/>
      </w:pPr>
      <w:rPr>
        <w:rFonts w:ascii="Symbol" w:hAnsi="Symbol" w:hint="default"/>
      </w:rPr>
    </w:lvl>
    <w:lvl w:ilvl="1" w:tplc="4C0A7E10" w:tentative="1">
      <w:start w:val="1"/>
      <w:numFmt w:val="bullet"/>
      <w:lvlText w:val="o"/>
      <w:lvlJc w:val="left"/>
      <w:pPr>
        <w:ind w:left="1440" w:hanging="360"/>
      </w:pPr>
      <w:rPr>
        <w:rFonts w:ascii="Courier New" w:hAnsi="Courier New" w:cs="Courier New" w:hint="default"/>
      </w:rPr>
    </w:lvl>
    <w:lvl w:ilvl="2" w:tplc="BEAEB726" w:tentative="1">
      <w:start w:val="1"/>
      <w:numFmt w:val="bullet"/>
      <w:lvlText w:val=""/>
      <w:lvlJc w:val="left"/>
      <w:pPr>
        <w:ind w:left="2160" w:hanging="360"/>
      </w:pPr>
      <w:rPr>
        <w:rFonts w:ascii="Wingdings" w:hAnsi="Wingdings" w:hint="default"/>
      </w:rPr>
    </w:lvl>
    <w:lvl w:ilvl="3" w:tplc="B41C3C12" w:tentative="1">
      <w:start w:val="1"/>
      <w:numFmt w:val="bullet"/>
      <w:lvlText w:val=""/>
      <w:lvlJc w:val="left"/>
      <w:pPr>
        <w:ind w:left="2880" w:hanging="360"/>
      </w:pPr>
      <w:rPr>
        <w:rFonts w:ascii="Symbol" w:hAnsi="Symbol" w:hint="default"/>
      </w:rPr>
    </w:lvl>
    <w:lvl w:ilvl="4" w:tplc="093A466A" w:tentative="1">
      <w:start w:val="1"/>
      <w:numFmt w:val="bullet"/>
      <w:lvlText w:val="o"/>
      <w:lvlJc w:val="left"/>
      <w:pPr>
        <w:ind w:left="3600" w:hanging="360"/>
      </w:pPr>
      <w:rPr>
        <w:rFonts w:ascii="Courier New" w:hAnsi="Courier New" w:cs="Courier New" w:hint="default"/>
      </w:rPr>
    </w:lvl>
    <w:lvl w:ilvl="5" w:tplc="A6EA1324" w:tentative="1">
      <w:start w:val="1"/>
      <w:numFmt w:val="bullet"/>
      <w:lvlText w:val=""/>
      <w:lvlJc w:val="left"/>
      <w:pPr>
        <w:ind w:left="4320" w:hanging="360"/>
      </w:pPr>
      <w:rPr>
        <w:rFonts w:ascii="Wingdings" w:hAnsi="Wingdings" w:hint="default"/>
      </w:rPr>
    </w:lvl>
    <w:lvl w:ilvl="6" w:tplc="98325E46" w:tentative="1">
      <w:start w:val="1"/>
      <w:numFmt w:val="bullet"/>
      <w:lvlText w:val=""/>
      <w:lvlJc w:val="left"/>
      <w:pPr>
        <w:ind w:left="5040" w:hanging="360"/>
      </w:pPr>
      <w:rPr>
        <w:rFonts w:ascii="Symbol" w:hAnsi="Symbol" w:hint="default"/>
      </w:rPr>
    </w:lvl>
    <w:lvl w:ilvl="7" w:tplc="FB8A74E6" w:tentative="1">
      <w:start w:val="1"/>
      <w:numFmt w:val="bullet"/>
      <w:lvlText w:val="o"/>
      <w:lvlJc w:val="left"/>
      <w:pPr>
        <w:ind w:left="5760" w:hanging="360"/>
      </w:pPr>
      <w:rPr>
        <w:rFonts w:ascii="Courier New" w:hAnsi="Courier New" w:cs="Courier New" w:hint="default"/>
      </w:rPr>
    </w:lvl>
    <w:lvl w:ilvl="8" w:tplc="2A821F3A" w:tentative="1">
      <w:start w:val="1"/>
      <w:numFmt w:val="bullet"/>
      <w:lvlText w:val=""/>
      <w:lvlJc w:val="left"/>
      <w:pPr>
        <w:ind w:left="6480" w:hanging="360"/>
      </w:pPr>
      <w:rPr>
        <w:rFonts w:ascii="Wingdings" w:hAnsi="Wingdings" w:hint="default"/>
      </w:rPr>
    </w:lvl>
  </w:abstractNum>
  <w:abstractNum w:abstractNumId="23" w15:restartNumberingAfterBreak="0">
    <w:nsid w:val="611958DB"/>
    <w:multiLevelType w:val="hybridMultilevel"/>
    <w:tmpl w:val="4246F210"/>
    <w:lvl w:ilvl="0" w:tplc="7E5AB3F6">
      <w:start w:val="1"/>
      <w:numFmt w:val="bullet"/>
      <w:lvlText w:val=""/>
      <w:lvlJc w:val="left"/>
      <w:pPr>
        <w:tabs>
          <w:tab w:val="num" w:pos="450"/>
        </w:tabs>
        <w:ind w:left="450" w:hanging="360"/>
      </w:pPr>
      <w:rPr>
        <w:rFonts w:ascii="Symbol" w:hAnsi="Symbol" w:hint="default"/>
        <w:sz w:val="22"/>
        <w:szCs w:val="22"/>
      </w:rPr>
    </w:lvl>
    <w:lvl w:ilvl="1" w:tplc="81028D5E" w:tentative="1">
      <w:start w:val="1"/>
      <w:numFmt w:val="bullet"/>
      <w:lvlText w:val="o"/>
      <w:lvlJc w:val="left"/>
      <w:pPr>
        <w:tabs>
          <w:tab w:val="num" w:pos="1530"/>
        </w:tabs>
        <w:ind w:left="1530" w:hanging="360"/>
      </w:pPr>
      <w:rPr>
        <w:rFonts w:ascii="Courier New" w:hAnsi="Courier New" w:cs="Courier New" w:hint="default"/>
      </w:rPr>
    </w:lvl>
    <w:lvl w:ilvl="2" w:tplc="C0B0C532" w:tentative="1">
      <w:start w:val="1"/>
      <w:numFmt w:val="bullet"/>
      <w:lvlText w:val=""/>
      <w:lvlJc w:val="left"/>
      <w:pPr>
        <w:tabs>
          <w:tab w:val="num" w:pos="2250"/>
        </w:tabs>
        <w:ind w:left="2250" w:hanging="360"/>
      </w:pPr>
      <w:rPr>
        <w:rFonts w:ascii="Wingdings" w:hAnsi="Wingdings" w:hint="default"/>
      </w:rPr>
    </w:lvl>
    <w:lvl w:ilvl="3" w:tplc="ADF8AFCC" w:tentative="1">
      <w:start w:val="1"/>
      <w:numFmt w:val="bullet"/>
      <w:lvlText w:val=""/>
      <w:lvlJc w:val="left"/>
      <w:pPr>
        <w:tabs>
          <w:tab w:val="num" w:pos="2970"/>
        </w:tabs>
        <w:ind w:left="2970" w:hanging="360"/>
      </w:pPr>
      <w:rPr>
        <w:rFonts w:ascii="Symbol" w:hAnsi="Symbol" w:hint="default"/>
      </w:rPr>
    </w:lvl>
    <w:lvl w:ilvl="4" w:tplc="D0A0176C" w:tentative="1">
      <w:start w:val="1"/>
      <w:numFmt w:val="bullet"/>
      <w:lvlText w:val="o"/>
      <w:lvlJc w:val="left"/>
      <w:pPr>
        <w:tabs>
          <w:tab w:val="num" w:pos="3690"/>
        </w:tabs>
        <w:ind w:left="3690" w:hanging="360"/>
      </w:pPr>
      <w:rPr>
        <w:rFonts w:ascii="Courier New" w:hAnsi="Courier New" w:cs="Courier New" w:hint="default"/>
      </w:rPr>
    </w:lvl>
    <w:lvl w:ilvl="5" w:tplc="FD2403A0" w:tentative="1">
      <w:start w:val="1"/>
      <w:numFmt w:val="bullet"/>
      <w:lvlText w:val=""/>
      <w:lvlJc w:val="left"/>
      <w:pPr>
        <w:tabs>
          <w:tab w:val="num" w:pos="4410"/>
        </w:tabs>
        <w:ind w:left="4410" w:hanging="360"/>
      </w:pPr>
      <w:rPr>
        <w:rFonts w:ascii="Wingdings" w:hAnsi="Wingdings" w:hint="default"/>
      </w:rPr>
    </w:lvl>
    <w:lvl w:ilvl="6" w:tplc="56849104" w:tentative="1">
      <w:start w:val="1"/>
      <w:numFmt w:val="bullet"/>
      <w:lvlText w:val=""/>
      <w:lvlJc w:val="left"/>
      <w:pPr>
        <w:tabs>
          <w:tab w:val="num" w:pos="5130"/>
        </w:tabs>
        <w:ind w:left="5130" w:hanging="360"/>
      </w:pPr>
      <w:rPr>
        <w:rFonts w:ascii="Symbol" w:hAnsi="Symbol" w:hint="default"/>
      </w:rPr>
    </w:lvl>
    <w:lvl w:ilvl="7" w:tplc="EA288FDA" w:tentative="1">
      <w:start w:val="1"/>
      <w:numFmt w:val="bullet"/>
      <w:lvlText w:val="o"/>
      <w:lvlJc w:val="left"/>
      <w:pPr>
        <w:tabs>
          <w:tab w:val="num" w:pos="5850"/>
        </w:tabs>
        <w:ind w:left="5850" w:hanging="360"/>
      </w:pPr>
      <w:rPr>
        <w:rFonts w:ascii="Courier New" w:hAnsi="Courier New" w:cs="Courier New" w:hint="default"/>
      </w:rPr>
    </w:lvl>
    <w:lvl w:ilvl="8" w:tplc="46CA4352" w:tentative="1">
      <w:start w:val="1"/>
      <w:numFmt w:val="bullet"/>
      <w:lvlText w:val=""/>
      <w:lvlJc w:val="left"/>
      <w:pPr>
        <w:tabs>
          <w:tab w:val="num" w:pos="6570"/>
        </w:tabs>
        <w:ind w:left="6570" w:hanging="360"/>
      </w:pPr>
      <w:rPr>
        <w:rFonts w:ascii="Wingdings" w:hAnsi="Wingdings" w:hint="default"/>
      </w:rPr>
    </w:lvl>
  </w:abstractNum>
  <w:abstractNum w:abstractNumId="24" w15:restartNumberingAfterBreak="0">
    <w:nsid w:val="63CF46BC"/>
    <w:multiLevelType w:val="hybridMultilevel"/>
    <w:tmpl w:val="4064BEE2"/>
    <w:lvl w:ilvl="0" w:tplc="730CF120">
      <w:start w:val="1"/>
      <w:numFmt w:val="bullet"/>
      <w:lvlText w:val=""/>
      <w:lvlJc w:val="left"/>
      <w:pPr>
        <w:tabs>
          <w:tab w:val="num" w:pos="648"/>
        </w:tabs>
        <w:ind w:left="648" w:hanging="360"/>
      </w:pPr>
      <w:rPr>
        <w:rFonts w:ascii="Symbol" w:hAnsi="Symbol" w:hint="default"/>
      </w:rPr>
    </w:lvl>
    <w:lvl w:ilvl="1" w:tplc="1ECCF0D8">
      <w:start w:val="1"/>
      <w:numFmt w:val="decimal"/>
      <w:lvlText w:val="(%2)"/>
      <w:lvlJc w:val="left"/>
      <w:pPr>
        <w:tabs>
          <w:tab w:val="num" w:pos="1800"/>
        </w:tabs>
        <w:ind w:left="1800" w:hanging="360"/>
      </w:pPr>
      <w:rPr>
        <w:rFonts w:hint="default"/>
      </w:rPr>
    </w:lvl>
    <w:lvl w:ilvl="2" w:tplc="3A4AA7E8" w:tentative="1">
      <w:start w:val="1"/>
      <w:numFmt w:val="lowerRoman"/>
      <w:lvlText w:val="%3."/>
      <w:lvlJc w:val="right"/>
      <w:pPr>
        <w:tabs>
          <w:tab w:val="num" w:pos="2520"/>
        </w:tabs>
        <w:ind w:left="2520" w:hanging="180"/>
      </w:pPr>
    </w:lvl>
    <w:lvl w:ilvl="3" w:tplc="09289A78" w:tentative="1">
      <w:start w:val="1"/>
      <w:numFmt w:val="decimal"/>
      <w:lvlText w:val="%4."/>
      <w:lvlJc w:val="left"/>
      <w:pPr>
        <w:tabs>
          <w:tab w:val="num" w:pos="3240"/>
        </w:tabs>
        <w:ind w:left="3240" w:hanging="360"/>
      </w:pPr>
    </w:lvl>
    <w:lvl w:ilvl="4" w:tplc="886ADFA2" w:tentative="1">
      <w:start w:val="1"/>
      <w:numFmt w:val="lowerLetter"/>
      <w:lvlText w:val="%5."/>
      <w:lvlJc w:val="left"/>
      <w:pPr>
        <w:tabs>
          <w:tab w:val="num" w:pos="3960"/>
        </w:tabs>
        <w:ind w:left="3960" w:hanging="360"/>
      </w:pPr>
    </w:lvl>
    <w:lvl w:ilvl="5" w:tplc="0B783F86" w:tentative="1">
      <w:start w:val="1"/>
      <w:numFmt w:val="lowerRoman"/>
      <w:lvlText w:val="%6."/>
      <w:lvlJc w:val="right"/>
      <w:pPr>
        <w:tabs>
          <w:tab w:val="num" w:pos="4680"/>
        </w:tabs>
        <w:ind w:left="4680" w:hanging="180"/>
      </w:pPr>
    </w:lvl>
    <w:lvl w:ilvl="6" w:tplc="80AA944A" w:tentative="1">
      <w:start w:val="1"/>
      <w:numFmt w:val="decimal"/>
      <w:lvlText w:val="%7."/>
      <w:lvlJc w:val="left"/>
      <w:pPr>
        <w:tabs>
          <w:tab w:val="num" w:pos="5400"/>
        </w:tabs>
        <w:ind w:left="5400" w:hanging="360"/>
      </w:pPr>
    </w:lvl>
    <w:lvl w:ilvl="7" w:tplc="7BF26562" w:tentative="1">
      <w:start w:val="1"/>
      <w:numFmt w:val="lowerLetter"/>
      <w:lvlText w:val="%8."/>
      <w:lvlJc w:val="left"/>
      <w:pPr>
        <w:tabs>
          <w:tab w:val="num" w:pos="6120"/>
        </w:tabs>
        <w:ind w:left="6120" w:hanging="360"/>
      </w:pPr>
    </w:lvl>
    <w:lvl w:ilvl="8" w:tplc="BF34ABCA" w:tentative="1">
      <w:start w:val="1"/>
      <w:numFmt w:val="lowerRoman"/>
      <w:lvlText w:val="%9."/>
      <w:lvlJc w:val="right"/>
      <w:pPr>
        <w:tabs>
          <w:tab w:val="num" w:pos="6840"/>
        </w:tabs>
        <w:ind w:left="6840" w:hanging="180"/>
      </w:pPr>
    </w:lvl>
  </w:abstractNum>
  <w:abstractNum w:abstractNumId="25" w15:restartNumberingAfterBreak="0">
    <w:nsid w:val="64223F5B"/>
    <w:multiLevelType w:val="hybridMultilevel"/>
    <w:tmpl w:val="0DFCEBDE"/>
    <w:lvl w:ilvl="0" w:tplc="F70E652C">
      <w:start w:val="1"/>
      <w:numFmt w:val="bullet"/>
      <w:lvlText w:val=""/>
      <w:lvlJc w:val="left"/>
      <w:pPr>
        <w:tabs>
          <w:tab w:val="num" w:pos="450"/>
        </w:tabs>
        <w:ind w:left="450" w:hanging="360"/>
      </w:pPr>
      <w:rPr>
        <w:rFonts w:ascii="Symbol" w:hAnsi="Symbol" w:hint="default"/>
        <w:color w:val="auto"/>
      </w:rPr>
    </w:lvl>
    <w:lvl w:ilvl="1" w:tplc="AA32C8DA" w:tentative="1">
      <w:start w:val="1"/>
      <w:numFmt w:val="bullet"/>
      <w:lvlText w:val="o"/>
      <w:lvlJc w:val="left"/>
      <w:pPr>
        <w:tabs>
          <w:tab w:val="num" w:pos="1440"/>
        </w:tabs>
        <w:ind w:left="1440" w:hanging="360"/>
      </w:pPr>
      <w:rPr>
        <w:rFonts w:ascii="Courier New" w:hAnsi="Courier New" w:cs="Courier New" w:hint="default"/>
      </w:rPr>
    </w:lvl>
    <w:lvl w:ilvl="2" w:tplc="E656FF70" w:tentative="1">
      <w:start w:val="1"/>
      <w:numFmt w:val="bullet"/>
      <w:lvlText w:val=""/>
      <w:lvlJc w:val="left"/>
      <w:pPr>
        <w:tabs>
          <w:tab w:val="num" w:pos="2160"/>
        </w:tabs>
        <w:ind w:left="2160" w:hanging="360"/>
      </w:pPr>
      <w:rPr>
        <w:rFonts w:ascii="Wingdings" w:hAnsi="Wingdings" w:hint="default"/>
      </w:rPr>
    </w:lvl>
    <w:lvl w:ilvl="3" w:tplc="EEB8ACF4" w:tentative="1">
      <w:start w:val="1"/>
      <w:numFmt w:val="bullet"/>
      <w:lvlText w:val=""/>
      <w:lvlJc w:val="left"/>
      <w:pPr>
        <w:tabs>
          <w:tab w:val="num" w:pos="2880"/>
        </w:tabs>
        <w:ind w:left="2880" w:hanging="360"/>
      </w:pPr>
      <w:rPr>
        <w:rFonts w:ascii="Symbol" w:hAnsi="Symbol" w:hint="default"/>
      </w:rPr>
    </w:lvl>
    <w:lvl w:ilvl="4" w:tplc="A3988FF0" w:tentative="1">
      <w:start w:val="1"/>
      <w:numFmt w:val="bullet"/>
      <w:lvlText w:val="o"/>
      <w:lvlJc w:val="left"/>
      <w:pPr>
        <w:tabs>
          <w:tab w:val="num" w:pos="3600"/>
        </w:tabs>
        <w:ind w:left="3600" w:hanging="360"/>
      </w:pPr>
      <w:rPr>
        <w:rFonts w:ascii="Courier New" w:hAnsi="Courier New" w:cs="Courier New" w:hint="default"/>
      </w:rPr>
    </w:lvl>
    <w:lvl w:ilvl="5" w:tplc="8AC2BEA0" w:tentative="1">
      <w:start w:val="1"/>
      <w:numFmt w:val="bullet"/>
      <w:lvlText w:val=""/>
      <w:lvlJc w:val="left"/>
      <w:pPr>
        <w:tabs>
          <w:tab w:val="num" w:pos="4320"/>
        </w:tabs>
        <w:ind w:left="4320" w:hanging="360"/>
      </w:pPr>
      <w:rPr>
        <w:rFonts w:ascii="Wingdings" w:hAnsi="Wingdings" w:hint="default"/>
      </w:rPr>
    </w:lvl>
    <w:lvl w:ilvl="6" w:tplc="B194FA26" w:tentative="1">
      <w:start w:val="1"/>
      <w:numFmt w:val="bullet"/>
      <w:lvlText w:val=""/>
      <w:lvlJc w:val="left"/>
      <w:pPr>
        <w:tabs>
          <w:tab w:val="num" w:pos="5040"/>
        </w:tabs>
        <w:ind w:left="5040" w:hanging="360"/>
      </w:pPr>
      <w:rPr>
        <w:rFonts w:ascii="Symbol" w:hAnsi="Symbol" w:hint="default"/>
      </w:rPr>
    </w:lvl>
    <w:lvl w:ilvl="7" w:tplc="3E2EE7DC" w:tentative="1">
      <w:start w:val="1"/>
      <w:numFmt w:val="bullet"/>
      <w:lvlText w:val="o"/>
      <w:lvlJc w:val="left"/>
      <w:pPr>
        <w:tabs>
          <w:tab w:val="num" w:pos="5760"/>
        </w:tabs>
        <w:ind w:left="5760" w:hanging="360"/>
      </w:pPr>
      <w:rPr>
        <w:rFonts w:ascii="Courier New" w:hAnsi="Courier New" w:cs="Courier New" w:hint="default"/>
      </w:rPr>
    </w:lvl>
    <w:lvl w:ilvl="8" w:tplc="875AF1E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6731A44"/>
    <w:multiLevelType w:val="hybridMultilevel"/>
    <w:tmpl w:val="C4EE7BC2"/>
    <w:lvl w:ilvl="0" w:tplc="5AAC0734">
      <w:start w:val="1"/>
      <w:numFmt w:val="bullet"/>
      <w:lvlText w:val=""/>
      <w:lvlJc w:val="left"/>
      <w:pPr>
        <w:ind w:left="2160" w:hanging="360"/>
      </w:pPr>
      <w:rPr>
        <w:rFonts w:ascii="Symbol" w:hAnsi="Symbol" w:hint="default"/>
      </w:rPr>
    </w:lvl>
    <w:lvl w:ilvl="1" w:tplc="A5C89806" w:tentative="1">
      <w:start w:val="1"/>
      <w:numFmt w:val="bullet"/>
      <w:lvlText w:val="o"/>
      <w:lvlJc w:val="left"/>
      <w:pPr>
        <w:ind w:left="2880" w:hanging="360"/>
      </w:pPr>
      <w:rPr>
        <w:rFonts w:ascii="Courier New" w:hAnsi="Courier New" w:cs="Courier New" w:hint="default"/>
      </w:rPr>
    </w:lvl>
    <w:lvl w:ilvl="2" w:tplc="C906824E" w:tentative="1">
      <w:start w:val="1"/>
      <w:numFmt w:val="bullet"/>
      <w:lvlText w:val=""/>
      <w:lvlJc w:val="left"/>
      <w:pPr>
        <w:ind w:left="3600" w:hanging="360"/>
      </w:pPr>
      <w:rPr>
        <w:rFonts w:ascii="Wingdings" w:hAnsi="Wingdings" w:hint="default"/>
      </w:rPr>
    </w:lvl>
    <w:lvl w:ilvl="3" w:tplc="5A865690" w:tentative="1">
      <w:start w:val="1"/>
      <w:numFmt w:val="bullet"/>
      <w:lvlText w:val=""/>
      <w:lvlJc w:val="left"/>
      <w:pPr>
        <w:ind w:left="4320" w:hanging="360"/>
      </w:pPr>
      <w:rPr>
        <w:rFonts w:ascii="Symbol" w:hAnsi="Symbol" w:hint="default"/>
      </w:rPr>
    </w:lvl>
    <w:lvl w:ilvl="4" w:tplc="2A66E474" w:tentative="1">
      <w:start w:val="1"/>
      <w:numFmt w:val="bullet"/>
      <w:lvlText w:val="o"/>
      <w:lvlJc w:val="left"/>
      <w:pPr>
        <w:ind w:left="5040" w:hanging="360"/>
      </w:pPr>
      <w:rPr>
        <w:rFonts w:ascii="Courier New" w:hAnsi="Courier New" w:cs="Courier New" w:hint="default"/>
      </w:rPr>
    </w:lvl>
    <w:lvl w:ilvl="5" w:tplc="C1B6F0EC" w:tentative="1">
      <w:start w:val="1"/>
      <w:numFmt w:val="bullet"/>
      <w:lvlText w:val=""/>
      <w:lvlJc w:val="left"/>
      <w:pPr>
        <w:ind w:left="5760" w:hanging="360"/>
      </w:pPr>
      <w:rPr>
        <w:rFonts w:ascii="Wingdings" w:hAnsi="Wingdings" w:hint="default"/>
      </w:rPr>
    </w:lvl>
    <w:lvl w:ilvl="6" w:tplc="2D7401A0" w:tentative="1">
      <w:start w:val="1"/>
      <w:numFmt w:val="bullet"/>
      <w:lvlText w:val=""/>
      <w:lvlJc w:val="left"/>
      <w:pPr>
        <w:ind w:left="6480" w:hanging="360"/>
      </w:pPr>
      <w:rPr>
        <w:rFonts w:ascii="Symbol" w:hAnsi="Symbol" w:hint="default"/>
      </w:rPr>
    </w:lvl>
    <w:lvl w:ilvl="7" w:tplc="97E6F8B2" w:tentative="1">
      <w:start w:val="1"/>
      <w:numFmt w:val="bullet"/>
      <w:lvlText w:val="o"/>
      <w:lvlJc w:val="left"/>
      <w:pPr>
        <w:ind w:left="7200" w:hanging="360"/>
      </w:pPr>
      <w:rPr>
        <w:rFonts w:ascii="Courier New" w:hAnsi="Courier New" w:cs="Courier New" w:hint="default"/>
      </w:rPr>
    </w:lvl>
    <w:lvl w:ilvl="8" w:tplc="6E7032AC" w:tentative="1">
      <w:start w:val="1"/>
      <w:numFmt w:val="bullet"/>
      <w:lvlText w:val=""/>
      <w:lvlJc w:val="left"/>
      <w:pPr>
        <w:ind w:left="7920" w:hanging="360"/>
      </w:pPr>
      <w:rPr>
        <w:rFonts w:ascii="Wingdings" w:hAnsi="Wingdings" w:hint="default"/>
      </w:rPr>
    </w:lvl>
  </w:abstractNum>
  <w:abstractNum w:abstractNumId="27" w15:restartNumberingAfterBreak="0">
    <w:nsid w:val="685E3971"/>
    <w:multiLevelType w:val="hybridMultilevel"/>
    <w:tmpl w:val="D13A22E6"/>
    <w:lvl w:ilvl="0" w:tplc="33860F10">
      <w:start w:val="1"/>
      <w:numFmt w:val="bullet"/>
      <w:lvlText w:val=""/>
      <w:lvlJc w:val="left"/>
      <w:pPr>
        <w:ind w:left="720" w:hanging="360"/>
      </w:pPr>
      <w:rPr>
        <w:rFonts w:ascii="Symbol" w:hAnsi="Symbol" w:hint="default"/>
      </w:rPr>
    </w:lvl>
    <w:lvl w:ilvl="1" w:tplc="58F6443A" w:tentative="1">
      <w:start w:val="1"/>
      <w:numFmt w:val="bullet"/>
      <w:lvlText w:val="o"/>
      <w:lvlJc w:val="left"/>
      <w:pPr>
        <w:ind w:left="1440" w:hanging="360"/>
      </w:pPr>
      <w:rPr>
        <w:rFonts w:ascii="Courier New" w:hAnsi="Courier New" w:cs="Courier New" w:hint="default"/>
      </w:rPr>
    </w:lvl>
    <w:lvl w:ilvl="2" w:tplc="BFCA5F9A" w:tentative="1">
      <w:start w:val="1"/>
      <w:numFmt w:val="bullet"/>
      <w:lvlText w:val=""/>
      <w:lvlJc w:val="left"/>
      <w:pPr>
        <w:ind w:left="2160" w:hanging="360"/>
      </w:pPr>
      <w:rPr>
        <w:rFonts w:ascii="Wingdings" w:hAnsi="Wingdings" w:hint="default"/>
      </w:rPr>
    </w:lvl>
    <w:lvl w:ilvl="3" w:tplc="0DBC4BF6" w:tentative="1">
      <w:start w:val="1"/>
      <w:numFmt w:val="bullet"/>
      <w:lvlText w:val=""/>
      <w:lvlJc w:val="left"/>
      <w:pPr>
        <w:ind w:left="2880" w:hanging="360"/>
      </w:pPr>
      <w:rPr>
        <w:rFonts w:ascii="Symbol" w:hAnsi="Symbol" w:hint="default"/>
      </w:rPr>
    </w:lvl>
    <w:lvl w:ilvl="4" w:tplc="97D42408" w:tentative="1">
      <w:start w:val="1"/>
      <w:numFmt w:val="bullet"/>
      <w:lvlText w:val="o"/>
      <w:lvlJc w:val="left"/>
      <w:pPr>
        <w:ind w:left="3600" w:hanging="360"/>
      </w:pPr>
      <w:rPr>
        <w:rFonts w:ascii="Courier New" w:hAnsi="Courier New" w:cs="Courier New" w:hint="default"/>
      </w:rPr>
    </w:lvl>
    <w:lvl w:ilvl="5" w:tplc="BE1CD1C4" w:tentative="1">
      <w:start w:val="1"/>
      <w:numFmt w:val="bullet"/>
      <w:lvlText w:val=""/>
      <w:lvlJc w:val="left"/>
      <w:pPr>
        <w:ind w:left="4320" w:hanging="360"/>
      </w:pPr>
      <w:rPr>
        <w:rFonts w:ascii="Wingdings" w:hAnsi="Wingdings" w:hint="default"/>
      </w:rPr>
    </w:lvl>
    <w:lvl w:ilvl="6" w:tplc="0AEAFB78" w:tentative="1">
      <w:start w:val="1"/>
      <w:numFmt w:val="bullet"/>
      <w:lvlText w:val=""/>
      <w:lvlJc w:val="left"/>
      <w:pPr>
        <w:ind w:left="5040" w:hanging="360"/>
      </w:pPr>
      <w:rPr>
        <w:rFonts w:ascii="Symbol" w:hAnsi="Symbol" w:hint="default"/>
      </w:rPr>
    </w:lvl>
    <w:lvl w:ilvl="7" w:tplc="C602D050" w:tentative="1">
      <w:start w:val="1"/>
      <w:numFmt w:val="bullet"/>
      <w:lvlText w:val="o"/>
      <w:lvlJc w:val="left"/>
      <w:pPr>
        <w:ind w:left="5760" w:hanging="360"/>
      </w:pPr>
      <w:rPr>
        <w:rFonts w:ascii="Courier New" w:hAnsi="Courier New" w:cs="Courier New" w:hint="default"/>
      </w:rPr>
    </w:lvl>
    <w:lvl w:ilvl="8" w:tplc="2D463B68" w:tentative="1">
      <w:start w:val="1"/>
      <w:numFmt w:val="bullet"/>
      <w:lvlText w:val=""/>
      <w:lvlJc w:val="left"/>
      <w:pPr>
        <w:ind w:left="6480" w:hanging="360"/>
      </w:pPr>
      <w:rPr>
        <w:rFonts w:ascii="Wingdings" w:hAnsi="Wingdings" w:hint="default"/>
      </w:rPr>
    </w:lvl>
  </w:abstractNum>
  <w:abstractNum w:abstractNumId="28" w15:restartNumberingAfterBreak="0">
    <w:nsid w:val="69BC3174"/>
    <w:multiLevelType w:val="hybridMultilevel"/>
    <w:tmpl w:val="CD0838B8"/>
    <w:lvl w:ilvl="0" w:tplc="BA724F22">
      <w:start w:val="1"/>
      <w:numFmt w:val="bullet"/>
      <w:lvlText w:val=""/>
      <w:lvlJc w:val="left"/>
      <w:pPr>
        <w:ind w:left="720" w:hanging="360"/>
      </w:pPr>
      <w:rPr>
        <w:rFonts w:ascii="Symbol" w:hAnsi="Symbol" w:hint="default"/>
      </w:rPr>
    </w:lvl>
    <w:lvl w:ilvl="1" w:tplc="29DE8A3C" w:tentative="1">
      <w:start w:val="1"/>
      <w:numFmt w:val="bullet"/>
      <w:lvlText w:val="o"/>
      <w:lvlJc w:val="left"/>
      <w:pPr>
        <w:ind w:left="1440" w:hanging="360"/>
      </w:pPr>
      <w:rPr>
        <w:rFonts w:ascii="Courier New" w:hAnsi="Courier New" w:cs="Courier New" w:hint="default"/>
      </w:rPr>
    </w:lvl>
    <w:lvl w:ilvl="2" w:tplc="8C3C6A44" w:tentative="1">
      <w:start w:val="1"/>
      <w:numFmt w:val="bullet"/>
      <w:lvlText w:val=""/>
      <w:lvlJc w:val="left"/>
      <w:pPr>
        <w:ind w:left="2160" w:hanging="360"/>
      </w:pPr>
      <w:rPr>
        <w:rFonts w:ascii="Wingdings" w:hAnsi="Wingdings" w:hint="default"/>
      </w:rPr>
    </w:lvl>
    <w:lvl w:ilvl="3" w:tplc="1B40BA48" w:tentative="1">
      <w:start w:val="1"/>
      <w:numFmt w:val="bullet"/>
      <w:lvlText w:val=""/>
      <w:lvlJc w:val="left"/>
      <w:pPr>
        <w:ind w:left="2880" w:hanging="360"/>
      </w:pPr>
      <w:rPr>
        <w:rFonts w:ascii="Symbol" w:hAnsi="Symbol" w:hint="default"/>
      </w:rPr>
    </w:lvl>
    <w:lvl w:ilvl="4" w:tplc="F6F6D5EA" w:tentative="1">
      <w:start w:val="1"/>
      <w:numFmt w:val="bullet"/>
      <w:lvlText w:val="o"/>
      <w:lvlJc w:val="left"/>
      <w:pPr>
        <w:ind w:left="3600" w:hanging="360"/>
      </w:pPr>
      <w:rPr>
        <w:rFonts w:ascii="Courier New" w:hAnsi="Courier New" w:cs="Courier New" w:hint="default"/>
      </w:rPr>
    </w:lvl>
    <w:lvl w:ilvl="5" w:tplc="003A0E3A" w:tentative="1">
      <w:start w:val="1"/>
      <w:numFmt w:val="bullet"/>
      <w:lvlText w:val=""/>
      <w:lvlJc w:val="left"/>
      <w:pPr>
        <w:ind w:left="4320" w:hanging="360"/>
      </w:pPr>
      <w:rPr>
        <w:rFonts w:ascii="Wingdings" w:hAnsi="Wingdings" w:hint="default"/>
      </w:rPr>
    </w:lvl>
    <w:lvl w:ilvl="6" w:tplc="356E4732" w:tentative="1">
      <w:start w:val="1"/>
      <w:numFmt w:val="bullet"/>
      <w:lvlText w:val=""/>
      <w:lvlJc w:val="left"/>
      <w:pPr>
        <w:ind w:left="5040" w:hanging="360"/>
      </w:pPr>
      <w:rPr>
        <w:rFonts w:ascii="Symbol" w:hAnsi="Symbol" w:hint="default"/>
      </w:rPr>
    </w:lvl>
    <w:lvl w:ilvl="7" w:tplc="A6521182" w:tentative="1">
      <w:start w:val="1"/>
      <w:numFmt w:val="bullet"/>
      <w:lvlText w:val="o"/>
      <w:lvlJc w:val="left"/>
      <w:pPr>
        <w:ind w:left="5760" w:hanging="360"/>
      </w:pPr>
      <w:rPr>
        <w:rFonts w:ascii="Courier New" w:hAnsi="Courier New" w:cs="Courier New" w:hint="default"/>
      </w:rPr>
    </w:lvl>
    <w:lvl w:ilvl="8" w:tplc="EA1CE0D8" w:tentative="1">
      <w:start w:val="1"/>
      <w:numFmt w:val="bullet"/>
      <w:lvlText w:val=""/>
      <w:lvlJc w:val="left"/>
      <w:pPr>
        <w:ind w:left="6480" w:hanging="360"/>
      </w:pPr>
      <w:rPr>
        <w:rFonts w:ascii="Wingdings" w:hAnsi="Wingdings" w:hint="default"/>
      </w:rPr>
    </w:lvl>
  </w:abstractNum>
  <w:abstractNum w:abstractNumId="29" w15:restartNumberingAfterBreak="0">
    <w:nsid w:val="6CA4248B"/>
    <w:multiLevelType w:val="hybridMultilevel"/>
    <w:tmpl w:val="380A6660"/>
    <w:lvl w:ilvl="0" w:tplc="3B42ADF2">
      <w:start w:val="1"/>
      <w:numFmt w:val="bullet"/>
      <w:lvlText w:val=""/>
      <w:lvlJc w:val="left"/>
      <w:pPr>
        <w:ind w:left="720" w:hanging="360"/>
      </w:pPr>
      <w:rPr>
        <w:rFonts w:ascii="Wingdings" w:hAnsi="Wingdings" w:hint="default"/>
        <w:b w:val="0"/>
        <w:i w:val="0"/>
        <w:sz w:val="28"/>
        <w:u w:color="C00000"/>
      </w:rPr>
    </w:lvl>
    <w:lvl w:ilvl="1" w:tplc="BC5EE692">
      <w:start w:val="1"/>
      <w:numFmt w:val="bullet"/>
      <w:lvlText w:val="o"/>
      <w:lvlJc w:val="left"/>
      <w:pPr>
        <w:ind w:left="1440" w:hanging="360"/>
      </w:pPr>
      <w:rPr>
        <w:rFonts w:ascii="Courier New" w:hAnsi="Courier New" w:cs="Courier New" w:hint="default"/>
      </w:rPr>
    </w:lvl>
    <w:lvl w:ilvl="2" w:tplc="FF96EB1C" w:tentative="1">
      <w:start w:val="1"/>
      <w:numFmt w:val="bullet"/>
      <w:lvlText w:val=""/>
      <w:lvlJc w:val="left"/>
      <w:pPr>
        <w:ind w:left="2160" w:hanging="360"/>
      </w:pPr>
      <w:rPr>
        <w:rFonts w:ascii="Wingdings" w:hAnsi="Wingdings" w:hint="default"/>
      </w:rPr>
    </w:lvl>
    <w:lvl w:ilvl="3" w:tplc="38FA5978" w:tentative="1">
      <w:start w:val="1"/>
      <w:numFmt w:val="bullet"/>
      <w:lvlText w:val=""/>
      <w:lvlJc w:val="left"/>
      <w:pPr>
        <w:ind w:left="2880" w:hanging="360"/>
      </w:pPr>
      <w:rPr>
        <w:rFonts w:ascii="Symbol" w:hAnsi="Symbol" w:hint="default"/>
      </w:rPr>
    </w:lvl>
    <w:lvl w:ilvl="4" w:tplc="D9308C00" w:tentative="1">
      <w:start w:val="1"/>
      <w:numFmt w:val="bullet"/>
      <w:lvlText w:val="o"/>
      <w:lvlJc w:val="left"/>
      <w:pPr>
        <w:ind w:left="3600" w:hanging="360"/>
      </w:pPr>
      <w:rPr>
        <w:rFonts w:ascii="Courier New" w:hAnsi="Courier New" w:cs="Courier New" w:hint="default"/>
      </w:rPr>
    </w:lvl>
    <w:lvl w:ilvl="5" w:tplc="452C34B0" w:tentative="1">
      <w:start w:val="1"/>
      <w:numFmt w:val="bullet"/>
      <w:lvlText w:val=""/>
      <w:lvlJc w:val="left"/>
      <w:pPr>
        <w:ind w:left="4320" w:hanging="360"/>
      </w:pPr>
      <w:rPr>
        <w:rFonts w:ascii="Wingdings" w:hAnsi="Wingdings" w:hint="default"/>
      </w:rPr>
    </w:lvl>
    <w:lvl w:ilvl="6" w:tplc="CEDE91DE" w:tentative="1">
      <w:start w:val="1"/>
      <w:numFmt w:val="bullet"/>
      <w:lvlText w:val=""/>
      <w:lvlJc w:val="left"/>
      <w:pPr>
        <w:ind w:left="5040" w:hanging="360"/>
      </w:pPr>
      <w:rPr>
        <w:rFonts w:ascii="Symbol" w:hAnsi="Symbol" w:hint="default"/>
      </w:rPr>
    </w:lvl>
    <w:lvl w:ilvl="7" w:tplc="8AC6446A" w:tentative="1">
      <w:start w:val="1"/>
      <w:numFmt w:val="bullet"/>
      <w:lvlText w:val="o"/>
      <w:lvlJc w:val="left"/>
      <w:pPr>
        <w:ind w:left="5760" w:hanging="360"/>
      </w:pPr>
      <w:rPr>
        <w:rFonts w:ascii="Courier New" w:hAnsi="Courier New" w:cs="Courier New" w:hint="default"/>
      </w:rPr>
    </w:lvl>
    <w:lvl w:ilvl="8" w:tplc="137CD5E6" w:tentative="1">
      <w:start w:val="1"/>
      <w:numFmt w:val="bullet"/>
      <w:lvlText w:val=""/>
      <w:lvlJc w:val="left"/>
      <w:pPr>
        <w:ind w:left="6480" w:hanging="360"/>
      </w:pPr>
      <w:rPr>
        <w:rFonts w:ascii="Wingdings" w:hAnsi="Wingdings" w:hint="default"/>
      </w:rPr>
    </w:lvl>
  </w:abstractNum>
  <w:abstractNum w:abstractNumId="30" w15:restartNumberingAfterBreak="0">
    <w:nsid w:val="700F4E9D"/>
    <w:multiLevelType w:val="hybridMultilevel"/>
    <w:tmpl w:val="33A839EA"/>
    <w:lvl w:ilvl="0" w:tplc="704C76B6">
      <w:start w:val="1"/>
      <w:numFmt w:val="bullet"/>
      <w:lvlText w:val=""/>
      <w:lvlJc w:val="left"/>
      <w:pPr>
        <w:tabs>
          <w:tab w:val="num" w:pos="705"/>
        </w:tabs>
        <w:ind w:left="705" w:hanging="360"/>
      </w:pPr>
      <w:rPr>
        <w:rFonts w:ascii="Symbol" w:hAnsi="Symbol" w:hint="default"/>
      </w:rPr>
    </w:lvl>
    <w:lvl w:ilvl="1" w:tplc="868E8290" w:tentative="1">
      <w:start w:val="1"/>
      <w:numFmt w:val="bullet"/>
      <w:lvlText w:val="o"/>
      <w:lvlJc w:val="left"/>
      <w:pPr>
        <w:tabs>
          <w:tab w:val="num" w:pos="1497"/>
        </w:tabs>
        <w:ind w:left="1497" w:hanging="360"/>
      </w:pPr>
      <w:rPr>
        <w:rFonts w:ascii="Courier New" w:hAnsi="Courier New" w:hint="default"/>
      </w:rPr>
    </w:lvl>
    <w:lvl w:ilvl="2" w:tplc="2B8C02F2" w:tentative="1">
      <w:start w:val="1"/>
      <w:numFmt w:val="bullet"/>
      <w:lvlText w:val=""/>
      <w:lvlJc w:val="left"/>
      <w:pPr>
        <w:tabs>
          <w:tab w:val="num" w:pos="2217"/>
        </w:tabs>
        <w:ind w:left="2217" w:hanging="360"/>
      </w:pPr>
      <w:rPr>
        <w:rFonts w:ascii="Wingdings" w:hAnsi="Wingdings" w:hint="default"/>
      </w:rPr>
    </w:lvl>
    <w:lvl w:ilvl="3" w:tplc="608AEBCC" w:tentative="1">
      <w:start w:val="1"/>
      <w:numFmt w:val="bullet"/>
      <w:lvlText w:val=""/>
      <w:lvlJc w:val="left"/>
      <w:pPr>
        <w:tabs>
          <w:tab w:val="num" w:pos="2937"/>
        </w:tabs>
        <w:ind w:left="2937" w:hanging="360"/>
      </w:pPr>
      <w:rPr>
        <w:rFonts w:ascii="Symbol" w:hAnsi="Symbol" w:hint="default"/>
      </w:rPr>
    </w:lvl>
    <w:lvl w:ilvl="4" w:tplc="A5D42ECC" w:tentative="1">
      <w:start w:val="1"/>
      <w:numFmt w:val="bullet"/>
      <w:lvlText w:val="o"/>
      <w:lvlJc w:val="left"/>
      <w:pPr>
        <w:tabs>
          <w:tab w:val="num" w:pos="3657"/>
        </w:tabs>
        <w:ind w:left="3657" w:hanging="360"/>
      </w:pPr>
      <w:rPr>
        <w:rFonts w:ascii="Courier New" w:hAnsi="Courier New" w:hint="default"/>
      </w:rPr>
    </w:lvl>
    <w:lvl w:ilvl="5" w:tplc="98A0D384" w:tentative="1">
      <w:start w:val="1"/>
      <w:numFmt w:val="bullet"/>
      <w:lvlText w:val=""/>
      <w:lvlJc w:val="left"/>
      <w:pPr>
        <w:tabs>
          <w:tab w:val="num" w:pos="4377"/>
        </w:tabs>
        <w:ind w:left="4377" w:hanging="360"/>
      </w:pPr>
      <w:rPr>
        <w:rFonts w:ascii="Wingdings" w:hAnsi="Wingdings" w:hint="default"/>
      </w:rPr>
    </w:lvl>
    <w:lvl w:ilvl="6" w:tplc="F08CC64A" w:tentative="1">
      <w:start w:val="1"/>
      <w:numFmt w:val="bullet"/>
      <w:lvlText w:val=""/>
      <w:lvlJc w:val="left"/>
      <w:pPr>
        <w:tabs>
          <w:tab w:val="num" w:pos="5097"/>
        </w:tabs>
        <w:ind w:left="5097" w:hanging="360"/>
      </w:pPr>
      <w:rPr>
        <w:rFonts w:ascii="Symbol" w:hAnsi="Symbol" w:hint="default"/>
      </w:rPr>
    </w:lvl>
    <w:lvl w:ilvl="7" w:tplc="9468C4FC" w:tentative="1">
      <w:start w:val="1"/>
      <w:numFmt w:val="bullet"/>
      <w:lvlText w:val="o"/>
      <w:lvlJc w:val="left"/>
      <w:pPr>
        <w:tabs>
          <w:tab w:val="num" w:pos="5817"/>
        </w:tabs>
        <w:ind w:left="5817" w:hanging="360"/>
      </w:pPr>
      <w:rPr>
        <w:rFonts w:ascii="Courier New" w:hAnsi="Courier New" w:hint="default"/>
      </w:rPr>
    </w:lvl>
    <w:lvl w:ilvl="8" w:tplc="9B08FFE2" w:tentative="1">
      <w:start w:val="1"/>
      <w:numFmt w:val="bullet"/>
      <w:lvlText w:val=""/>
      <w:lvlJc w:val="left"/>
      <w:pPr>
        <w:tabs>
          <w:tab w:val="num" w:pos="6537"/>
        </w:tabs>
        <w:ind w:left="6537" w:hanging="360"/>
      </w:pPr>
      <w:rPr>
        <w:rFonts w:ascii="Wingdings" w:hAnsi="Wingdings" w:hint="default"/>
      </w:rPr>
    </w:lvl>
  </w:abstractNum>
  <w:abstractNum w:abstractNumId="31" w15:restartNumberingAfterBreak="0">
    <w:nsid w:val="712B4BA5"/>
    <w:multiLevelType w:val="hybridMultilevel"/>
    <w:tmpl w:val="DE7E2A72"/>
    <w:lvl w:ilvl="0" w:tplc="84F07CD4">
      <w:start w:val="1"/>
      <w:numFmt w:val="bullet"/>
      <w:lvlText w:val=""/>
      <w:lvlPicBulletId w:val="0"/>
      <w:lvlJc w:val="left"/>
      <w:pPr>
        <w:ind w:left="1440" w:hanging="360"/>
      </w:pPr>
      <w:rPr>
        <w:rFonts w:ascii="Symbol" w:hAnsi="Symbol" w:hint="default"/>
        <w:color w:val="auto"/>
        <w:sz w:val="36"/>
        <w:szCs w:val="36"/>
      </w:rPr>
    </w:lvl>
    <w:lvl w:ilvl="1" w:tplc="5762AC6E" w:tentative="1">
      <w:start w:val="1"/>
      <w:numFmt w:val="bullet"/>
      <w:lvlText w:val="o"/>
      <w:lvlJc w:val="left"/>
      <w:pPr>
        <w:ind w:left="2160" w:hanging="360"/>
      </w:pPr>
      <w:rPr>
        <w:rFonts w:ascii="Courier New" w:hAnsi="Courier New" w:cs="Courier New" w:hint="default"/>
      </w:rPr>
    </w:lvl>
    <w:lvl w:ilvl="2" w:tplc="AAF88E26" w:tentative="1">
      <w:start w:val="1"/>
      <w:numFmt w:val="bullet"/>
      <w:lvlText w:val=""/>
      <w:lvlJc w:val="left"/>
      <w:pPr>
        <w:ind w:left="2880" w:hanging="360"/>
      </w:pPr>
      <w:rPr>
        <w:rFonts w:ascii="Wingdings" w:hAnsi="Wingdings" w:hint="default"/>
      </w:rPr>
    </w:lvl>
    <w:lvl w:ilvl="3" w:tplc="ABA45E1C" w:tentative="1">
      <w:start w:val="1"/>
      <w:numFmt w:val="bullet"/>
      <w:lvlText w:val=""/>
      <w:lvlJc w:val="left"/>
      <w:pPr>
        <w:ind w:left="3600" w:hanging="360"/>
      </w:pPr>
      <w:rPr>
        <w:rFonts w:ascii="Symbol" w:hAnsi="Symbol" w:hint="default"/>
      </w:rPr>
    </w:lvl>
    <w:lvl w:ilvl="4" w:tplc="AAA041F8" w:tentative="1">
      <w:start w:val="1"/>
      <w:numFmt w:val="bullet"/>
      <w:lvlText w:val="o"/>
      <w:lvlJc w:val="left"/>
      <w:pPr>
        <w:ind w:left="4320" w:hanging="360"/>
      </w:pPr>
      <w:rPr>
        <w:rFonts w:ascii="Courier New" w:hAnsi="Courier New" w:cs="Courier New" w:hint="default"/>
      </w:rPr>
    </w:lvl>
    <w:lvl w:ilvl="5" w:tplc="14C0476E" w:tentative="1">
      <w:start w:val="1"/>
      <w:numFmt w:val="bullet"/>
      <w:lvlText w:val=""/>
      <w:lvlJc w:val="left"/>
      <w:pPr>
        <w:ind w:left="5040" w:hanging="360"/>
      </w:pPr>
      <w:rPr>
        <w:rFonts w:ascii="Wingdings" w:hAnsi="Wingdings" w:hint="default"/>
      </w:rPr>
    </w:lvl>
    <w:lvl w:ilvl="6" w:tplc="9EEE7750" w:tentative="1">
      <w:start w:val="1"/>
      <w:numFmt w:val="bullet"/>
      <w:lvlText w:val=""/>
      <w:lvlJc w:val="left"/>
      <w:pPr>
        <w:ind w:left="5760" w:hanging="360"/>
      </w:pPr>
      <w:rPr>
        <w:rFonts w:ascii="Symbol" w:hAnsi="Symbol" w:hint="default"/>
      </w:rPr>
    </w:lvl>
    <w:lvl w:ilvl="7" w:tplc="B726D6C2" w:tentative="1">
      <w:start w:val="1"/>
      <w:numFmt w:val="bullet"/>
      <w:lvlText w:val="o"/>
      <w:lvlJc w:val="left"/>
      <w:pPr>
        <w:ind w:left="6480" w:hanging="360"/>
      </w:pPr>
      <w:rPr>
        <w:rFonts w:ascii="Courier New" w:hAnsi="Courier New" w:cs="Courier New" w:hint="default"/>
      </w:rPr>
    </w:lvl>
    <w:lvl w:ilvl="8" w:tplc="5D887D10" w:tentative="1">
      <w:start w:val="1"/>
      <w:numFmt w:val="bullet"/>
      <w:lvlText w:val=""/>
      <w:lvlJc w:val="left"/>
      <w:pPr>
        <w:ind w:left="7200" w:hanging="360"/>
      </w:pPr>
      <w:rPr>
        <w:rFonts w:ascii="Wingdings" w:hAnsi="Wingdings" w:hint="default"/>
      </w:rPr>
    </w:lvl>
  </w:abstractNum>
  <w:abstractNum w:abstractNumId="32" w15:restartNumberingAfterBreak="0">
    <w:nsid w:val="763F30EA"/>
    <w:multiLevelType w:val="hybridMultilevel"/>
    <w:tmpl w:val="83A4A9DC"/>
    <w:lvl w:ilvl="0" w:tplc="0DA6DFA6">
      <w:start w:val="1"/>
      <w:numFmt w:val="bullet"/>
      <w:lvlText w:val=""/>
      <w:lvlJc w:val="left"/>
      <w:pPr>
        <w:ind w:left="2160" w:hanging="360"/>
      </w:pPr>
      <w:rPr>
        <w:rFonts w:ascii="Symbol" w:hAnsi="Symbol" w:hint="default"/>
      </w:rPr>
    </w:lvl>
    <w:lvl w:ilvl="1" w:tplc="7CF09B72" w:tentative="1">
      <w:start w:val="1"/>
      <w:numFmt w:val="bullet"/>
      <w:lvlText w:val="o"/>
      <w:lvlJc w:val="left"/>
      <w:pPr>
        <w:ind w:left="2880" w:hanging="360"/>
      </w:pPr>
      <w:rPr>
        <w:rFonts w:ascii="Courier New" w:hAnsi="Courier New" w:cs="Courier New" w:hint="default"/>
      </w:rPr>
    </w:lvl>
    <w:lvl w:ilvl="2" w:tplc="EEDABBD4" w:tentative="1">
      <w:start w:val="1"/>
      <w:numFmt w:val="bullet"/>
      <w:lvlText w:val=""/>
      <w:lvlJc w:val="left"/>
      <w:pPr>
        <w:ind w:left="3600" w:hanging="360"/>
      </w:pPr>
      <w:rPr>
        <w:rFonts w:ascii="Wingdings" w:hAnsi="Wingdings" w:hint="default"/>
      </w:rPr>
    </w:lvl>
    <w:lvl w:ilvl="3" w:tplc="2BDABBE0" w:tentative="1">
      <w:start w:val="1"/>
      <w:numFmt w:val="bullet"/>
      <w:lvlText w:val=""/>
      <w:lvlJc w:val="left"/>
      <w:pPr>
        <w:ind w:left="4320" w:hanging="360"/>
      </w:pPr>
      <w:rPr>
        <w:rFonts w:ascii="Symbol" w:hAnsi="Symbol" w:hint="default"/>
      </w:rPr>
    </w:lvl>
    <w:lvl w:ilvl="4" w:tplc="030AE5AE" w:tentative="1">
      <w:start w:val="1"/>
      <w:numFmt w:val="bullet"/>
      <w:lvlText w:val="o"/>
      <w:lvlJc w:val="left"/>
      <w:pPr>
        <w:ind w:left="5040" w:hanging="360"/>
      </w:pPr>
      <w:rPr>
        <w:rFonts w:ascii="Courier New" w:hAnsi="Courier New" w:cs="Courier New" w:hint="default"/>
      </w:rPr>
    </w:lvl>
    <w:lvl w:ilvl="5" w:tplc="DDDA6F00" w:tentative="1">
      <w:start w:val="1"/>
      <w:numFmt w:val="bullet"/>
      <w:lvlText w:val=""/>
      <w:lvlJc w:val="left"/>
      <w:pPr>
        <w:ind w:left="5760" w:hanging="360"/>
      </w:pPr>
      <w:rPr>
        <w:rFonts w:ascii="Wingdings" w:hAnsi="Wingdings" w:hint="default"/>
      </w:rPr>
    </w:lvl>
    <w:lvl w:ilvl="6" w:tplc="D276A6A4" w:tentative="1">
      <w:start w:val="1"/>
      <w:numFmt w:val="bullet"/>
      <w:lvlText w:val=""/>
      <w:lvlJc w:val="left"/>
      <w:pPr>
        <w:ind w:left="6480" w:hanging="360"/>
      </w:pPr>
      <w:rPr>
        <w:rFonts w:ascii="Symbol" w:hAnsi="Symbol" w:hint="default"/>
      </w:rPr>
    </w:lvl>
    <w:lvl w:ilvl="7" w:tplc="7D4E81B8" w:tentative="1">
      <w:start w:val="1"/>
      <w:numFmt w:val="bullet"/>
      <w:lvlText w:val="o"/>
      <w:lvlJc w:val="left"/>
      <w:pPr>
        <w:ind w:left="7200" w:hanging="360"/>
      </w:pPr>
      <w:rPr>
        <w:rFonts w:ascii="Courier New" w:hAnsi="Courier New" w:cs="Courier New" w:hint="default"/>
      </w:rPr>
    </w:lvl>
    <w:lvl w:ilvl="8" w:tplc="F17A6DD6" w:tentative="1">
      <w:start w:val="1"/>
      <w:numFmt w:val="bullet"/>
      <w:lvlText w:val=""/>
      <w:lvlJc w:val="left"/>
      <w:pPr>
        <w:ind w:left="7920" w:hanging="360"/>
      </w:pPr>
      <w:rPr>
        <w:rFonts w:ascii="Wingdings" w:hAnsi="Wingdings" w:hint="default"/>
      </w:rPr>
    </w:lvl>
  </w:abstractNum>
  <w:abstractNum w:abstractNumId="33" w15:restartNumberingAfterBreak="0">
    <w:nsid w:val="78193072"/>
    <w:multiLevelType w:val="hybridMultilevel"/>
    <w:tmpl w:val="7B108C56"/>
    <w:lvl w:ilvl="0" w:tplc="30C0A1C8">
      <w:start w:val="1"/>
      <w:numFmt w:val="bullet"/>
      <w:lvlText w:val=""/>
      <w:lvlJc w:val="left"/>
      <w:pPr>
        <w:ind w:left="720" w:hanging="360"/>
      </w:pPr>
      <w:rPr>
        <w:rFonts w:ascii="Symbol" w:hAnsi="Symbol" w:hint="default"/>
      </w:rPr>
    </w:lvl>
    <w:lvl w:ilvl="1" w:tplc="1DAA72C2" w:tentative="1">
      <w:start w:val="1"/>
      <w:numFmt w:val="bullet"/>
      <w:lvlText w:val="o"/>
      <w:lvlJc w:val="left"/>
      <w:pPr>
        <w:ind w:left="1440" w:hanging="360"/>
      </w:pPr>
      <w:rPr>
        <w:rFonts w:ascii="Courier New" w:hAnsi="Courier New" w:cs="Courier New" w:hint="default"/>
      </w:rPr>
    </w:lvl>
    <w:lvl w:ilvl="2" w:tplc="0C9E519C" w:tentative="1">
      <w:start w:val="1"/>
      <w:numFmt w:val="bullet"/>
      <w:lvlText w:val=""/>
      <w:lvlJc w:val="left"/>
      <w:pPr>
        <w:ind w:left="2160" w:hanging="360"/>
      </w:pPr>
      <w:rPr>
        <w:rFonts w:ascii="Wingdings" w:hAnsi="Wingdings" w:hint="default"/>
      </w:rPr>
    </w:lvl>
    <w:lvl w:ilvl="3" w:tplc="3C1E9346" w:tentative="1">
      <w:start w:val="1"/>
      <w:numFmt w:val="bullet"/>
      <w:lvlText w:val=""/>
      <w:lvlJc w:val="left"/>
      <w:pPr>
        <w:ind w:left="2880" w:hanging="360"/>
      </w:pPr>
      <w:rPr>
        <w:rFonts w:ascii="Symbol" w:hAnsi="Symbol" w:hint="default"/>
      </w:rPr>
    </w:lvl>
    <w:lvl w:ilvl="4" w:tplc="501E02B4" w:tentative="1">
      <w:start w:val="1"/>
      <w:numFmt w:val="bullet"/>
      <w:lvlText w:val="o"/>
      <w:lvlJc w:val="left"/>
      <w:pPr>
        <w:ind w:left="3600" w:hanging="360"/>
      </w:pPr>
      <w:rPr>
        <w:rFonts w:ascii="Courier New" w:hAnsi="Courier New" w:cs="Courier New" w:hint="default"/>
      </w:rPr>
    </w:lvl>
    <w:lvl w:ilvl="5" w:tplc="22DE0778" w:tentative="1">
      <w:start w:val="1"/>
      <w:numFmt w:val="bullet"/>
      <w:lvlText w:val=""/>
      <w:lvlJc w:val="left"/>
      <w:pPr>
        <w:ind w:left="4320" w:hanging="360"/>
      </w:pPr>
      <w:rPr>
        <w:rFonts w:ascii="Wingdings" w:hAnsi="Wingdings" w:hint="default"/>
      </w:rPr>
    </w:lvl>
    <w:lvl w:ilvl="6" w:tplc="ED94E7FE" w:tentative="1">
      <w:start w:val="1"/>
      <w:numFmt w:val="bullet"/>
      <w:lvlText w:val=""/>
      <w:lvlJc w:val="left"/>
      <w:pPr>
        <w:ind w:left="5040" w:hanging="360"/>
      </w:pPr>
      <w:rPr>
        <w:rFonts w:ascii="Symbol" w:hAnsi="Symbol" w:hint="default"/>
      </w:rPr>
    </w:lvl>
    <w:lvl w:ilvl="7" w:tplc="AB2E7A18" w:tentative="1">
      <w:start w:val="1"/>
      <w:numFmt w:val="bullet"/>
      <w:lvlText w:val="o"/>
      <w:lvlJc w:val="left"/>
      <w:pPr>
        <w:ind w:left="5760" w:hanging="360"/>
      </w:pPr>
      <w:rPr>
        <w:rFonts w:ascii="Courier New" w:hAnsi="Courier New" w:cs="Courier New" w:hint="default"/>
      </w:rPr>
    </w:lvl>
    <w:lvl w:ilvl="8" w:tplc="54886528" w:tentative="1">
      <w:start w:val="1"/>
      <w:numFmt w:val="bullet"/>
      <w:lvlText w:val=""/>
      <w:lvlJc w:val="left"/>
      <w:pPr>
        <w:ind w:left="6480" w:hanging="360"/>
      </w:pPr>
      <w:rPr>
        <w:rFonts w:ascii="Wingdings" w:hAnsi="Wingdings" w:hint="default"/>
      </w:rPr>
    </w:lvl>
  </w:abstractNum>
  <w:abstractNum w:abstractNumId="34" w15:restartNumberingAfterBreak="0">
    <w:nsid w:val="7CA345C5"/>
    <w:multiLevelType w:val="hybridMultilevel"/>
    <w:tmpl w:val="9E36ED14"/>
    <w:lvl w:ilvl="0" w:tplc="1540B5AC">
      <w:start w:val="1"/>
      <w:numFmt w:val="bullet"/>
      <w:lvlText w:val=""/>
      <w:lvlJc w:val="left"/>
      <w:pPr>
        <w:ind w:left="720" w:hanging="360"/>
      </w:pPr>
      <w:rPr>
        <w:rFonts w:ascii="Symbol" w:hAnsi="Symbol" w:hint="default"/>
      </w:rPr>
    </w:lvl>
    <w:lvl w:ilvl="1" w:tplc="13809D9A" w:tentative="1">
      <w:start w:val="1"/>
      <w:numFmt w:val="bullet"/>
      <w:lvlText w:val="o"/>
      <w:lvlJc w:val="left"/>
      <w:pPr>
        <w:ind w:left="1440" w:hanging="360"/>
      </w:pPr>
      <w:rPr>
        <w:rFonts w:ascii="Courier New" w:hAnsi="Courier New" w:cs="Courier New" w:hint="default"/>
      </w:rPr>
    </w:lvl>
    <w:lvl w:ilvl="2" w:tplc="82D0FAE6" w:tentative="1">
      <w:start w:val="1"/>
      <w:numFmt w:val="bullet"/>
      <w:lvlText w:val=""/>
      <w:lvlJc w:val="left"/>
      <w:pPr>
        <w:ind w:left="2160" w:hanging="360"/>
      </w:pPr>
      <w:rPr>
        <w:rFonts w:ascii="Wingdings" w:hAnsi="Wingdings" w:hint="default"/>
      </w:rPr>
    </w:lvl>
    <w:lvl w:ilvl="3" w:tplc="D4D0CA7C" w:tentative="1">
      <w:start w:val="1"/>
      <w:numFmt w:val="bullet"/>
      <w:lvlText w:val=""/>
      <w:lvlJc w:val="left"/>
      <w:pPr>
        <w:ind w:left="2880" w:hanging="360"/>
      </w:pPr>
      <w:rPr>
        <w:rFonts w:ascii="Symbol" w:hAnsi="Symbol" w:hint="default"/>
      </w:rPr>
    </w:lvl>
    <w:lvl w:ilvl="4" w:tplc="832EE81E" w:tentative="1">
      <w:start w:val="1"/>
      <w:numFmt w:val="bullet"/>
      <w:lvlText w:val="o"/>
      <w:lvlJc w:val="left"/>
      <w:pPr>
        <w:ind w:left="3600" w:hanging="360"/>
      </w:pPr>
      <w:rPr>
        <w:rFonts w:ascii="Courier New" w:hAnsi="Courier New" w:cs="Courier New" w:hint="default"/>
      </w:rPr>
    </w:lvl>
    <w:lvl w:ilvl="5" w:tplc="65026422" w:tentative="1">
      <w:start w:val="1"/>
      <w:numFmt w:val="bullet"/>
      <w:lvlText w:val=""/>
      <w:lvlJc w:val="left"/>
      <w:pPr>
        <w:ind w:left="4320" w:hanging="360"/>
      </w:pPr>
      <w:rPr>
        <w:rFonts w:ascii="Wingdings" w:hAnsi="Wingdings" w:hint="default"/>
      </w:rPr>
    </w:lvl>
    <w:lvl w:ilvl="6" w:tplc="DA1CE96C" w:tentative="1">
      <w:start w:val="1"/>
      <w:numFmt w:val="bullet"/>
      <w:lvlText w:val=""/>
      <w:lvlJc w:val="left"/>
      <w:pPr>
        <w:ind w:left="5040" w:hanging="360"/>
      </w:pPr>
      <w:rPr>
        <w:rFonts w:ascii="Symbol" w:hAnsi="Symbol" w:hint="default"/>
      </w:rPr>
    </w:lvl>
    <w:lvl w:ilvl="7" w:tplc="547EF30C" w:tentative="1">
      <w:start w:val="1"/>
      <w:numFmt w:val="bullet"/>
      <w:lvlText w:val="o"/>
      <w:lvlJc w:val="left"/>
      <w:pPr>
        <w:ind w:left="5760" w:hanging="360"/>
      </w:pPr>
      <w:rPr>
        <w:rFonts w:ascii="Courier New" w:hAnsi="Courier New" w:cs="Courier New" w:hint="default"/>
      </w:rPr>
    </w:lvl>
    <w:lvl w:ilvl="8" w:tplc="A9B4E46E" w:tentative="1">
      <w:start w:val="1"/>
      <w:numFmt w:val="bullet"/>
      <w:lvlText w:val=""/>
      <w:lvlJc w:val="left"/>
      <w:pPr>
        <w:ind w:left="6480" w:hanging="360"/>
      </w:pPr>
      <w:rPr>
        <w:rFonts w:ascii="Wingdings" w:hAnsi="Wingdings" w:hint="default"/>
      </w:rPr>
    </w:lvl>
  </w:abstractNum>
  <w:num w:numId="1" w16cid:durableId="1492451586">
    <w:abstractNumId w:val="26"/>
  </w:num>
  <w:num w:numId="2" w16cid:durableId="1163466845">
    <w:abstractNumId w:val="5"/>
  </w:num>
  <w:num w:numId="3" w16cid:durableId="1894274130">
    <w:abstractNumId w:val="20"/>
  </w:num>
  <w:num w:numId="4" w16cid:durableId="2114519177">
    <w:abstractNumId w:val="3"/>
  </w:num>
  <w:num w:numId="5" w16cid:durableId="250434233">
    <w:abstractNumId w:val="15"/>
  </w:num>
  <w:num w:numId="6" w16cid:durableId="1337225762">
    <w:abstractNumId w:val="32"/>
  </w:num>
  <w:num w:numId="7" w16cid:durableId="998651023">
    <w:abstractNumId w:val="17"/>
  </w:num>
  <w:num w:numId="8" w16cid:durableId="1022391307">
    <w:abstractNumId w:val="6"/>
  </w:num>
  <w:num w:numId="9" w16cid:durableId="1329552955">
    <w:abstractNumId w:val="12"/>
  </w:num>
  <w:num w:numId="10" w16cid:durableId="973826315">
    <w:abstractNumId w:val="27"/>
  </w:num>
  <w:num w:numId="11" w16cid:durableId="218438721">
    <w:abstractNumId w:val="14"/>
  </w:num>
  <w:num w:numId="12" w16cid:durableId="434248229">
    <w:abstractNumId w:val="33"/>
  </w:num>
  <w:num w:numId="13" w16cid:durableId="569195088">
    <w:abstractNumId w:val="22"/>
  </w:num>
  <w:num w:numId="14" w16cid:durableId="1014383585">
    <w:abstractNumId w:val="16"/>
  </w:num>
  <w:num w:numId="15" w16cid:durableId="2067026677">
    <w:abstractNumId w:val="28"/>
  </w:num>
  <w:num w:numId="16" w16cid:durableId="372655479">
    <w:abstractNumId w:val="4"/>
  </w:num>
  <w:num w:numId="17" w16cid:durableId="577906219">
    <w:abstractNumId w:val="8"/>
  </w:num>
  <w:num w:numId="18" w16cid:durableId="1246722127">
    <w:abstractNumId w:val="7"/>
  </w:num>
  <w:num w:numId="19" w16cid:durableId="289212949">
    <w:abstractNumId w:val="31"/>
  </w:num>
  <w:num w:numId="20" w16cid:durableId="553931548">
    <w:abstractNumId w:val="34"/>
  </w:num>
  <w:num w:numId="21" w16cid:durableId="1767919257">
    <w:abstractNumId w:val="11"/>
  </w:num>
  <w:num w:numId="22" w16cid:durableId="194230255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3843380">
    <w:abstractNumId w:val="19"/>
  </w:num>
  <w:num w:numId="24" w16cid:durableId="1562063075">
    <w:abstractNumId w:val="25"/>
  </w:num>
  <w:num w:numId="25" w16cid:durableId="195122407">
    <w:abstractNumId w:val="23"/>
  </w:num>
  <w:num w:numId="26" w16cid:durableId="178356000">
    <w:abstractNumId w:val="18"/>
  </w:num>
  <w:num w:numId="27" w16cid:durableId="1579243139">
    <w:abstractNumId w:val="9"/>
  </w:num>
  <w:num w:numId="28" w16cid:durableId="714693076">
    <w:abstractNumId w:val="29"/>
  </w:num>
  <w:num w:numId="29" w16cid:durableId="205681032">
    <w:abstractNumId w:val="0"/>
  </w:num>
  <w:num w:numId="30" w16cid:durableId="1240562024">
    <w:abstractNumId w:val="10"/>
  </w:num>
  <w:num w:numId="31" w16cid:durableId="1323316157">
    <w:abstractNumId w:val="13"/>
  </w:num>
  <w:num w:numId="32" w16cid:durableId="2014140192">
    <w:abstractNumId w:val="24"/>
  </w:num>
  <w:num w:numId="33" w16cid:durableId="17046801">
    <w:abstractNumId w:val="2"/>
  </w:num>
  <w:num w:numId="34" w16cid:durableId="2068916746">
    <w:abstractNumId w:val="1"/>
  </w:num>
  <w:num w:numId="35" w16cid:durableId="13464408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1B9"/>
    <w:rsid w:val="0000511E"/>
    <w:rsid w:val="0001218E"/>
    <w:rsid w:val="00015216"/>
    <w:rsid w:val="000316EE"/>
    <w:rsid w:val="0003221A"/>
    <w:rsid w:val="0004049C"/>
    <w:rsid w:val="00046CE9"/>
    <w:rsid w:val="00055D86"/>
    <w:rsid w:val="000631E1"/>
    <w:rsid w:val="00073FBA"/>
    <w:rsid w:val="0009246F"/>
    <w:rsid w:val="00094533"/>
    <w:rsid w:val="000A42C0"/>
    <w:rsid w:val="000C1AD3"/>
    <w:rsid w:val="000D1791"/>
    <w:rsid w:val="0011591D"/>
    <w:rsid w:val="001365F0"/>
    <w:rsid w:val="00140DA0"/>
    <w:rsid w:val="00161AD7"/>
    <w:rsid w:val="00167BFA"/>
    <w:rsid w:val="00181B4D"/>
    <w:rsid w:val="0018341A"/>
    <w:rsid w:val="001916AF"/>
    <w:rsid w:val="001A78E3"/>
    <w:rsid w:val="001C040C"/>
    <w:rsid w:val="001D3E21"/>
    <w:rsid w:val="001D7858"/>
    <w:rsid w:val="001E5350"/>
    <w:rsid w:val="001E70FC"/>
    <w:rsid w:val="001F2BC5"/>
    <w:rsid w:val="0021208D"/>
    <w:rsid w:val="00213C50"/>
    <w:rsid w:val="00223840"/>
    <w:rsid w:val="0025087E"/>
    <w:rsid w:val="00260F77"/>
    <w:rsid w:val="002647B6"/>
    <w:rsid w:val="00281A28"/>
    <w:rsid w:val="00286040"/>
    <w:rsid w:val="002C4661"/>
    <w:rsid w:val="002C643D"/>
    <w:rsid w:val="003005D7"/>
    <w:rsid w:val="00304DE2"/>
    <w:rsid w:val="00312286"/>
    <w:rsid w:val="00314C49"/>
    <w:rsid w:val="00330CB9"/>
    <w:rsid w:val="00333BFC"/>
    <w:rsid w:val="003532D3"/>
    <w:rsid w:val="00355FCE"/>
    <w:rsid w:val="00364D66"/>
    <w:rsid w:val="00365A70"/>
    <w:rsid w:val="00386B1C"/>
    <w:rsid w:val="003A674C"/>
    <w:rsid w:val="003B0955"/>
    <w:rsid w:val="003B289A"/>
    <w:rsid w:val="003B6FCD"/>
    <w:rsid w:val="003D5F18"/>
    <w:rsid w:val="0042057E"/>
    <w:rsid w:val="00434C36"/>
    <w:rsid w:val="00443615"/>
    <w:rsid w:val="004659E8"/>
    <w:rsid w:val="00477345"/>
    <w:rsid w:val="00482109"/>
    <w:rsid w:val="004920A2"/>
    <w:rsid w:val="004951DC"/>
    <w:rsid w:val="004B0F59"/>
    <w:rsid w:val="004C72EE"/>
    <w:rsid w:val="004D3240"/>
    <w:rsid w:val="004E09F7"/>
    <w:rsid w:val="004E1824"/>
    <w:rsid w:val="004F5E0E"/>
    <w:rsid w:val="00506B76"/>
    <w:rsid w:val="005257DB"/>
    <w:rsid w:val="00526FAD"/>
    <w:rsid w:val="00531372"/>
    <w:rsid w:val="00575A23"/>
    <w:rsid w:val="0058104B"/>
    <w:rsid w:val="005B3FE4"/>
    <w:rsid w:val="005B62D7"/>
    <w:rsid w:val="005F4771"/>
    <w:rsid w:val="005F6CD7"/>
    <w:rsid w:val="00600F4F"/>
    <w:rsid w:val="00627E1A"/>
    <w:rsid w:val="006322AD"/>
    <w:rsid w:val="00651846"/>
    <w:rsid w:val="00652941"/>
    <w:rsid w:val="006809C2"/>
    <w:rsid w:val="00685B4D"/>
    <w:rsid w:val="00697417"/>
    <w:rsid w:val="00697E91"/>
    <w:rsid w:val="006A362C"/>
    <w:rsid w:val="006C2DDE"/>
    <w:rsid w:val="006D5587"/>
    <w:rsid w:val="006D6A20"/>
    <w:rsid w:val="0070722E"/>
    <w:rsid w:val="00711DC9"/>
    <w:rsid w:val="00712E20"/>
    <w:rsid w:val="0072008D"/>
    <w:rsid w:val="00720FAF"/>
    <w:rsid w:val="00726E66"/>
    <w:rsid w:val="0074470C"/>
    <w:rsid w:val="0074734E"/>
    <w:rsid w:val="007675C0"/>
    <w:rsid w:val="00787896"/>
    <w:rsid w:val="007B3CF8"/>
    <w:rsid w:val="007E6AF8"/>
    <w:rsid w:val="007F3762"/>
    <w:rsid w:val="007F6583"/>
    <w:rsid w:val="007F7FBD"/>
    <w:rsid w:val="00827300"/>
    <w:rsid w:val="00834BEC"/>
    <w:rsid w:val="00840DE3"/>
    <w:rsid w:val="00861B9F"/>
    <w:rsid w:val="00867D6B"/>
    <w:rsid w:val="00874468"/>
    <w:rsid w:val="00883A3D"/>
    <w:rsid w:val="008A0B4B"/>
    <w:rsid w:val="008A533E"/>
    <w:rsid w:val="008A5D48"/>
    <w:rsid w:val="008C024B"/>
    <w:rsid w:val="008E0402"/>
    <w:rsid w:val="008F7DD5"/>
    <w:rsid w:val="00902602"/>
    <w:rsid w:val="0090456D"/>
    <w:rsid w:val="00913DB7"/>
    <w:rsid w:val="00921873"/>
    <w:rsid w:val="00933E51"/>
    <w:rsid w:val="00934E9A"/>
    <w:rsid w:val="00962089"/>
    <w:rsid w:val="0097469B"/>
    <w:rsid w:val="00984C93"/>
    <w:rsid w:val="00986939"/>
    <w:rsid w:val="00990392"/>
    <w:rsid w:val="009A658E"/>
    <w:rsid w:val="009B69AE"/>
    <w:rsid w:val="009E25DF"/>
    <w:rsid w:val="009E413E"/>
    <w:rsid w:val="009F6FEC"/>
    <w:rsid w:val="00A521B9"/>
    <w:rsid w:val="00A53C9C"/>
    <w:rsid w:val="00A56E3A"/>
    <w:rsid w:val="00A662C5"/>
    <w:rsid w:val="00A66BAA"/>
    <w:rsid w:val="00A74EF9"/>
    <w:rsid w:val="00A76A7C"/>
    <w:rsid w:val="00A770BD"/>
    <w:rsid w:val="00A84556"/>
    <w:rsid w:val="00A95881"/>
    <w:rsid w:val="00A96E92"/>
    <w:rsid w:val="00A9742A"/>
    <w:rsid w:val="00AA3160"/>
    <w:rsid w:val="00AA6969"/>
    <w:rsid w:val="00AD35CB"/>
    <w:rsid w:val="00AF222A"/>
    <w:rsid w:val="00AF288A"/>
    <w:rsid w:val="00AF36DA"/>
    <w:rsid w:val="00B04294"/>
    <w:rsid w:val="00B069B3"/>
    <w:rsid w:val="00B100F4"/>
    <w:rsid w:val="00B13090"/>
    <w:rsid w:val="00B323B4"/>
    <w:rsid w:val="00B33D34"/>
    <w:rsid w:val="00B6351A"/>
    <w:rsid w:val="00B7372C"/>
    <w:rsid w:val="00B800BC"/>
    <w:rsid w:val="00B87E88"/>
    <w:rsid w:val="00B936D5"/>
    <w:rsid w:val="00B940C9"/>
    <w:rsid w:val="00BA1FDF"/>
    <w:rsid w:val="00BB47FA"/>
    <w:rsid w:val="00BB5739"/>
    <w:rsid w:val="00BB647A"/>
    <w:rsid w:val="00BC4A21"/>
    <w:rsid w:val="00BD0314"/>
    <w:rsid w:val="00C22DA2"/>
    <w:rsid w:val="00C436E4"/>
    <w:rsid w:val="00C4724A"/>
    <w:rsid w:val="00C63E1B"/>
    <w:rsid w:val="00C802C2"/>
    <w:rsid w:val="00C84E15"/>
    <w:rsid w:val="00C860EA"/>
    <w:rsid w:val="00C94D1B"/>
    <w:rsid w:val="00CA0971"/>
    <w:rsid w:val="00CA3CE5"/>
    <w:rsid w:val="00CA7A60"/>
    <w:rsid w:val="00CB4586"/>
    <w:rsid w:val="00CF5DFE"/>
    <w:rsid w:val="00CF64E7"/>
    <w:rsid w:val="00D04F00"/>
    <w:rsid w:val="00D113E3"/>
    <w:rsid w:val="00D44DBF"/>
    <w:rsid w:val="00D4654D"/>
    <w:rsid w:val="00D56133"/>
    <w:rsid w:val="00D62809"/>
    <w:rsid w:val="00D66AB4"/>
    <w:rsid w:val="00D72E04"/>
    <w:rsid w:val="00D7675A"/>
    <w:rsid w:val="00D7706B"/>
    <w:rsid w:val="00D848C0"/>
    <w:rsid w:val="00D84ACE"/>
    <w:rsid w:val="00DA5444"/>
    <w:rsid w:val="00DB1E57"/>
    <w:rsid w:val="00DB2191"/>
    <w:rsid w:val="00DB6338"/>
    <w:rsid w:val="00DC1E8F"/>
    <w:rsid w:val="00DC73D8"/>
    <w:rsid w:val="00DF0976"/>
    <w:rsid w:val="00DF0C8A"/>
    <w:rsid w:val="00DF6C7C"/>
    <w:rsid w:val="00E109A9"/>
    <w:rsid w:val="00E13380"/>
    <w:rsid w:val="00E4255B"/>
    <w:rsid w:val="00E4753C"/>
    <w:rsid w:val="00E636F6"/>
    <w:rsid w:val="00E8118C"/>
    <w:rsid w:val="00EA5F13"/>
    <w:rsid w:val="00EC3CF6"/>
    <w:rsid w:val="00ED127F"/>
    <w:rsid w:val="00EF7EEC"/>
    <w:rsid w:val="00F01420"/>
    <w:rsid w:val="00F0206B"/>
    <w:rsid w:val="00F8146F"/>
    <w:rsid w:val="00F82915"/>
    <w:rsid w:val="00FC268B"/>
    <w:rsid w:val="00FE5244"/>
    <w:rsid w:val="00FF1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265827"/>
  <w15:chartTrackingRefBased/>
  <w15:docId w15:val="{5FD79C02-2E28-467A-833B-79B9140FF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pPr>
      <w:spacing w:after="200" w:line="276" w:lineRule="auto"/>
    </w:pPr>
    <w:rPr>
      <w:sz w:val="22"/>
      <w:szCs w:val="22"/>
    </w:rPr>
  </w:style>
  <w:style w:type="paragraph" w:styleId="Heading1">
    <w:name w:val="heading 1"/>
    <w:aliases w:val="Section Header"/>
    <w:basedOn w:val="Normal"/>
    <w:next w:val="Normal"/>
    <w:link w:val="Heading1Char"/>
    <w:uiPriority w:val="9"/>
    <w:qFormat/>
    <w:rsid w:val="008E0402"/>
    <w:pPr>
      <w:keepNext/>
      <w:spacing w:before="240" w:after="60"/>
      <w:outlineLvl w:val="0"/>
    </w:pPr>
    <w:rPr>
      <w:rFonts w:eastAsia="Times New Roman"/>
      <w:b/>
      <w:bCs/>
      <w:kern w:val="32"/>
      <w:sz w:val="40"/>
      <w:szCs w:val="32"/>
    </w:rPr>
  </w:style>
  <w:style w:type="paragraph" w:styleId="Heading2">
    <w:name w:val="heading 2"/>
    <w:aliases w:val="Paragraph header"/>
    <w:basedOn w:val="Normal"/>
    <w:next w:val="Normal"/>
    <w:link w:val="Heading2Char"/>
    <w:uiPriority w:val="9"/>
    <w:qFormat/>
    <w:rsid w:val="008E0402"/>
    <w:pPr>
      <w:keepNext/>
      <w:spacing w:before="240" w:after="60"/>
      <w:outlineLvl w:val="1"/>
    </w:pPr>
    <w:rPr>
      <w:rFonts w:eastAsia="Times New Roman"/>
      <w:b/>
      <w:bCs/>
      <w:iCs/>
      <w:sz w:val="28"/>
      <w:szCs w:val="28"/>
    </w:rPr>
  </w:style>
  <w:style w:type="paragraph" w:styleId="Heading3">
    <w:name w:val="heading 3"/>
    <w:basedOn w:val="Normal"/>
    <w:next w:val="Normal"/>
    <w:link w:val="Heading3Char"/>
    <w:uiPriority w:val="9"/>
    <w:qFormat/>
    <w:rsid w:val="00357CD4"/>
    <w:pPr>
      <w:keepNext/>
      <w:spacing w:before="240" w:after="60"/>
      <w:outlineLvl w:val="2"/>
    </w:pPr>
    <w:rPr>
      <w:rFonts w:ascii="Cambria" w:eastAsia="Times New Roman" w:hAnsi="Cambria"/>
      <w:b/>
      <w:bCs/>
      <w:sz w:val="26"/>
      <w:szCs w:val="26"/>
    </w:rPr>
  </w:style>
  <w:style w:type="paragraph" w:styleId="Heading6">
    <w:name w:val="heading 6"/>
    <w:basedOn w:val="Normal"/>
    <w:next w:val="Normal"/>
    <w:link w:val="Heading6Char"/>
    <w:uiPriority w:val="9"/>
    <w:qFormat/>
    <w:rsid w:val="00783F07"/>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7265"/>
    <w:pPr>
      <w:ind w:left="720"/>
      <w:contextualSpacing/>
    </w:pPr>
  </w:style>
  <w:style w:type="paragraph" w:styleId="BalloonText">
    <w:name w:val="Balloon Text"/>
    <w:basedOn w:val="Normal"/>
    <w:link w:val="BalloonTextChar"/>
    <w:uiPriority w:val="99"/>
    <w:semiHidden/>
    <w:unhideWhenUsed/>
    <w:rsid w:val="00805AC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05ACC"/>
    <w:rPr>
      <w:rFonts w:ascii="Tahoma" w:hAnsi="Tahoma" w:cs="Tahoma"/>
      <w:sz w:val="16"/>
      <w:szCs w:val="16"/>
    </w:rPr>
  </w:style>
  <w:style w:type="table" w:styleId="TableGrid">
    <w:name w:val="Table Grid"/>
    <w:basedOn w:val="TableNormal"/>
    <w:uiPriority w:val="59"/>
    <w:rsid w:val="00816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22C17"/>
    <w:pPr>
      <w:tabs>
        <w:tab w:val="center" w:pos="4680"/>
        <w:tab w:val="right" w:pos="9360"/>
      </w:tabs>
    </w:pPr>
  </w:style>
  <w:style w:type="character" w:customStyle="1" w:styleId="HeaderChar">
    <w:name w:val="Header Char"/>
    <w:link w:val="Header"/>
    <w:rsid w:val="00522C17"/>
    <w:rPr>
      <w:sz w:val="22"/>
      <w:szCs w:val="22"/>
    </w:rPr>
  </w:style>
  <w:style w:type="paragraph" w:styleId="Footer">
    <w:name w:val="footer"/>
    <w:basedOn w:val="Normal"/>
    <w:link w:val="FooterChar"/>
    <w:uiPriority w:val="99"/>
    <w:unhideWhenUsed/>
    <w:rsid w:val="00522C17"/>
    <w:pPr>
      <w:tabs>
        <w:tab w:val="center" w:pos="4680"/>
        <w:tab w:val="right" w:pos="9360"/>
      </w:tabs>
    </w:pPr>
  </w:style>
  <w:style w:type="character" w:customStyle="1" w:styleId="FooterChar">
    <w:name w:val="Footer Char"/>
    <w:link w:val="Footer"/>
    <w:uiPriority w:val="99"/>
    <w:rsid w:val="00522C17"/>
    <w:rPr>
      <w:sz w:val="22"/>
      <w:szCs w:val="22"/>
    </w:rPr>
  </w:style>
  <w:style w:type="character" w:customStyle="1" w:styleId="Heading1Char">
    <w:name w:val="Heading 1 Char"/>
    <w:aliases w:val="Section Header Char"/>
    <w:link w:val="Heading1"/>
    <w:uiPriority w:val="9"/>
    <w:rsid w:val="008E0402"/>
    <w:rPr>
      <w:rFonts w:ascii="Calibri" w:eastAsia="Times New Roman" w:hAnsi="Calibri"/>
      <w:b/>
      <w:bCs/>
      <w:kern w:val="32"/>
      <w:sz w:val="40"/>
      <w:szCs w:val="32"/>
    </w:rPr>
  </w:style>
  <w:style w:type="paragraph" w:styleId="TOCHeading">
    <w:name w:val="TOC Heading"/>
    <w:basedOn w:val="Heading1"/>
    <w:next w:val="Normal"/>
    <w:uiPriority w:val="39"/>
    <w:qFormat/>
    <w:rsid w:val="00C21109"/>
    <w:pPr>
      <w:keepLines/>
      <w:spacing w:before="480" w:after="0"/>
      <w:outlineLvl w:val="9"/>
    </w:pPr>
    <w:rPr>
      <w:color w:val="365F91"/>
      <w:kern w:val="0"/>
      <w:sz w:val="28"/>
      <w:szCs w:val="28"/>
      <w:lang w:eastAsia="ja-JP"/>
    </w:rPr>
  </w:style>
  <w:style w:type="paragraph" w:styleId="TOC1">
    <w:name w:val="toc 1"/>
    <w:basedOn w:val="Normal"/>
    <w:next w:val="Normal"/>
    <w:autoRedefine/>
    <w:uiPriority w:val="39"/>
    <w:unhideWhenUsed/>
    <w:rsid w:val="00FF122F"/>
    <w:pPr>
      <w:tabs>
        <w:tab w:val="right" w:leader="dot" w:pos="9360"/>
      </w:tabs>
    </w:pPr>
  </w:style>
  <w:style w:type="character" w:styleId="Hyperlink">
    <w:name w:val="Hyperlink"/>
    <w:uiPriority w:val="99"/>
    <w:unhideWhenUsed/>
    <w:rsid w:val="00426241"/>
    <w:rPr>
      <w:color w:val="0000FF"/>
      <w:u w:val="single"/>
    </w:rPr>
  </w:style>
  <w:style w:type="character" w:styleId="CommentReference">
    <w:name w:val="annotation reference"/>
    <w:uiPriority w:val="99"/>
    <w:semiHidden/>
    <w:unhideWhenUsed/>
    <w:rsid w:val="009C6CFB"/>
    <w:rPr>
      <w:sz w:val="16"/>
      <w:szCs w:val="16"/>
    </w:rPr>
  </w:style>
  <w:style w:type="paragraph" w:styleId="CommentText">
    <w:name w:val="annotation text"/>
    <w:basedOn w:val="Normal"/>
    <w:link w:val="CommentTextChar"/>
    <w:uiPriority w:val="99"/>
    <w:semiHidden/>
    <w:unhideWhenUsed/>
    <w:rsid w:val="009C6CFB"/>
    <w:rPr>
      <w:sz w:val="20"/>
      <w:szCs w:val="20"/>
    </w:rPr>
  </w:style>
  <w:style w:type="character" w:customStyle="1" w:styleId="CommentTextChar">
    <w:name w:val="Comment Text Char"/>
    <w:basedOn w:val="DefaultParagraphFont"/>
    <w:link w:val="CommentText"/>
    <w:uiPriority w:val="99"/>
    <w:semiHidden/>
    <w:rsid w:val="009C6CFB"/>
  </w:style>
  <w:style w:type="paragraph" w:styleId="CommentSubject">
    <w:name w:val="annotation subject"/>
    <w:basedOn w:val="CommentText"/>
    <w:next w:val="CommentText"/>
    <w:link w:val="CommentSubjectChar"/>
    <w:uiPriority w:val="99"/>
    <w:semiHidden/>
    <w:unhideWhenUsed/>
    <w:rsid w:val="009C6CFB"/>
    <w:rPr>
      <w:b/>
      <w:bCs/>
    </w:rPr>
  </w:style>
  <w:style w:type="character" w:customStyle="1" w:styleId="CommentSubjectChar">
    <w:name w:val="Comment Subject Char"/>
    <w:link w:val="CommentSubject"/>
    <w:uiPriority w:val="99"/>
    <w:semiHidden/>
    <w:rsid w:val="009C6CFB"/>
    <w:rPr>
      <w:b/>
      <w:bCs/>
    </w:rPr>
  </w:style>
  <w:style w:type="paragraph" w:styleId="Revision">
    <w:name w:val="Revision"/>
    <w:hidden/>
    <w:uiPriority w:val="99"/>
    <w:semiHidden/>
    <w:rsid w:val="009C6CFB"/>
    <w:rPr>
      <w:sz w:val="22"/>
      <w:szCs w:val="22"/>
    </w:rPr>
  </w:style>
  <w:style w:type="paragraph" w:styleId="NoSpacing">
    <w:name w:val="No Spacing"/>
    <w:aliases w:val="list header"/>
    <w:link w:val="NoSpacingChar"/>
    <w:uiPriority w:val="1"/>
    <w:qFormat/>
    <w:rsid w:val="008D1B1E"/>
    <w:pPr>
      <w:spacing w:line="360" w:lineRule="auto"/>
    </w:pPr>
    <w:rPr>
      <w:rFonts w:eastAsia="MS Mincho" w:cs="Arial"/>
      <w:b/>
      <w:sz w:val="24"/>
      <w:szCs w:val="22"/>
      <w:lang w:eastAsia="ja-JP"/>
    </w:rPr>
  </w:style>
  <w:style w:type="character" w:customStyle="1" w:styleId="NoSpacingChar">
    <w:name w:val="No Spacing Char"/>
    <w:aliases w:val="list header Char"/>
    <w:link w:val="NoSpacing"/>
    <w:uiPriority w:val="1"/>
    <w:rsid w:val="008D1B1E"/>
    <w:rPr>
      <w:rFonts w:eastAsia="MS Mincho" w:cs="Arial"/>
      <w:b/>
      <w:sz w:val="24"/>
      <w:szCs w:val="22"/>
      <w:lang w:eastAsia="ja-JP"/>
    </w:rPr>
  </w:style>
  <w:style w:type="character" w:customStyle="1" w:styleId="Heading2Char">
    <w:name w:val="Heading 2 Char"/>
    <w:aliases w:val="Paragraph header Char"/>
    <w:link w:val="Heading2"/>
    <w:uiPriority w:val="9"/>
    <w:rsid w:val="008E0402"/>
    <w:rPr>
      <w:rFonts w:ascii="Calibri" w:eastAsia="Times New Roman" w:hAnsi="Calibri" w:cs="Times New Roman"/>
      <w:b/>
      <w:bCs/>
      <w:iCs/>
      <w:sz w:val="28"/>
      <w:szCs w:val="28"/>
    </w:rPr>
  </w:style>
  <w:style w:type="paragraph" w:styleId="BodyText">
    <w:name w:val="Body Text"/>
    <w:basedOn w:val="Normal"/>
    <w:link w:val="BodyTextChar"/>
    <w:qFormat/>
    <w:rsid w:val="00330CB9"/>
    <w:pPr>
      <w:tabs>
        <w:tab w:val="left" w:pos="10440"/>
      </w:tabs>
      <w:spacing w:after="160" w:line="240" w:lineRule="auto"/>
    </w:pPr>
    <w:rPr>
      <w:rFonts w:ascii="Verdana" w:eastAsia="Times New Roman" w:hAnsi="Verdana" w:cs="Arial"/>
      <w:sz w:val="18"/>
      <w:szCs w:val="20"/>
    </w:rPr>
  </w:style>
  <w:style w:type="character" w:customStyle="1" w:styleId="BodyTextChar">
    <w:name w:val="Body Text Char"/>
    <w:link w:val="BodyText"/>
    <w:rsid w:val="00330CB9"/>
    <w:rPr>
      <w:rFonts w:ascii="Verdana" w:eastAsia="Times New Roman" w:hAnsi="Verdana" w:cs="Arial"/>
      <w:sz w:val="18"/>
    </w:rPr>
  </w:style>
  <w:style w:type="character" w:styleId="FollowedHyperlink">
    <w:name w:val="FollowedHyperlink"/>
    <w:uiPriority w:val="99"/>
    <w:semiHidden/>
    <w:unhideWhenUsed/>
    <w:rsid w:val="00330CB9"/>
    <w:rPr>
      <w:color w:val="800080"/>
      <w:u w:val="single"/>
    </w:rPr>
  </w:style>
  <w:style w:type="paragraph" w:styleId="BodyTextIndent">
    <w:name w:val="Body Text Indent"/>
    <w:basedOn w:val="Normal"/>
    <w:link w:val="BodyTextIndentChar"/>
    <w:uiPriority w:val="99"/>
    <w:unhideWhenUsed/>
    <w:rsid w:val="00C52F93"/>
    <w:pPr>
      <w:spacing w:after="120"/>
      <w:ind w:left="360"/>
    </w:pPr>
  </w:style>
  <w:style w:type="character" w:customStyle="1" w:styleId="BodyTextIndentChar">
    <w:name w:val="Body Text Indent Char"/>
    <w:link w:val="BodyTextIndent"/>
    <w:uiPriority w:val="99"/>
    <w:rsid w:val="00C52F93"/>
    <w:rPr>
      <w:sz w:val="22"/>
      <w:szCs w:val="22"/>
    </w:rPr>
  </w:style>
  <w:style w:type="paragraph" w:styleId="TOC2">
    <w:name w:val="toc 2"/>
    <w:basedOn w:val="Normal"/>
    <w:next w:val="Normal"/>
    <w:autoRedefine/>
    <w:uiPriority w:val="39"/>
    <w:unhideWhenUsed/>
    <w:rsid w:val="00FD7E0A"/>
    <w:pPr>
      <w:ind w:left="220"/>
    </w:pPr>
  </w:style>
  <w:style w:type="paragraph" w:styleId="FootnoteText">
    <w:name w:val="footnote text"/>
    <w:basedOn w:val="Normal"/>
    <w:link w:val="FootnoteTextChar"/>
    <w:uiPriority w:val="99"/>
    <w:semiHidden/>
    <w:unhideWhenUsed/>
    <w:rsid w:val="00BD4D5F"/>
    <w:rPr>
      <w:sz w:val="20"/>
      <w:szCs w:val="20"/>
    </w:rPr>
  </w:style>
  <w:style w:type="character" w:customStyle="1" w:styleId="FootnoteTextChar">
    <w:name w:val="Footnote Text Char"/>
    <w:basedOn w:val="DefaultParagraphFont"/>
    <w:link w:val="FootnoteText"/>
    <w:uiPriority w:val="99"/>
    <w:semiHidden/>
    <w:rsid w:val="00BD4D5F"/>
  </w:style>
  <w:style w:type="character" w:styleId="FootnoteReference">
    <w:name w:val="footnote reference"/>
    <w:uiPriority w:val="99"/>
    <w:semiHidden/>
    <w:unhideWhenUsed/>
    <w:rsid w:val="00BD4D5F"/>
    <w:rPr>
      <w:vertAlign w:val="superscript"/>
    </w:rPr>
  </w:style>
  <w:style w:type="character" w:customStyle="1" w:styleId="Heading6Char">
    <w:name w:val="Heading 6 Char"/>
    <w:link w:val="Heading6"/>
    <w:uiPriority w:val="9"/>
    <w:semiHidden/>
    <w:rsid w:val="00783F07"/>
    <w:rPr>
      <w:rFonts w:ascii="Calibri" w:eastAsia="Times New Roman" w:hAnsi="Calibri" w:cs="Times New Roman"/>
      <w:b/>
      <w:bCs/>
      <w:sz w:val="22"/>
      <w:szCs w:val="22"/>
    </w:rPr>
  </w:style>
  <w:style w:type="character" w:customStyle="1" w:styleId="Heading3Char">
    <w:name w:val="Heading 3 Char"/>
    <w:link w:val="Heading3"/>
    <w:uiPriority w:val="9"/>
    <w:semiHidden/>
    <w:rsid w:val="00357CD4"/>
    <w:rPr>
      <w:rFonts w:ascii="Cambria" w:eastAsia="Times New Roman" w:hAnsi="Cambria" w:cs="Times New Roman"/>
      <w:b/>
      <w:bCs/>
      <w:sz w:val="26"/>
      <w:szCs w:val="26"/>
    </w:rPr>
  </w:style>
  <w:style w:type="character" w:styleId="PageNumber">
    <w:name w:val="page number"/>
    <w:rsid w:val="00D94700"/>
  </w:style>
  <w:style w:type="character" w:styleId="UnresolvedMention">
    <w:name w:val="Unresolved Mention"/>
    <w:basedOn w:val="DefaultParagraphFont"/>
    <w:uiPriority w:val="99"/>
    <w:semiHidden/>
    <w:unhideWhenUsed/>
    <w:rsid w:val="00BB64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healthcare.gov" TargetMode="External"/><Relationship Id="rId26" Type="http://schemas.openxmlformats.org/officeDocument/2006/relationships/hyperlink" Target="https://www.medicare.gov/medicare-and-you" TargetMode="External"/><Relationship Id="rId21" Type="http://schemas.openxmlformats.org/officeDocument/2006/relationships/hyperlink" Target="http://www.dol.gov/ebsa/publications/cobraemployee.html" TargetMode="External"/><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dol.gov/ebsa" TargetMode="External"/><Relationship Id="rId25" Type="http://schemas.openxmlformats.org/officeDocument/2006/relationships/hyperlink" Target="http://www.healthcare.gov" TargetMode="External"/><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www.medicare.gov/medicare-and-you" TargetMode="External"/><Relationship Id="rId20" Type="http://schemas.openxmlformats.org/officeDocument/2006/relationships/hyperlink" Target="http://www.healthcare.gov/"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healthcare.gov"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ealthcare.gov" TargetMode="External"/><Relationship Id="rId23" Type="http://schemas.openxmlformats.org/officeDocument/2006/relationships/hyperlink" Target="https://www.healthcare.gov/are-my-children-eligible-for-chip" TargetMode="External"/><Relationship Id="rId28" Type="http://schemas.openxmlformats.org/officeDocument/2006/relationships/hyperlink" Target="http://www.healthcare.gov" TargetMode="External"/><Relationship Id="rId36" Type="http://schemas.openxmlformats.org/officeDocument/2006/relationships/fontTable" Target="fontTable.xml"/><Relationship Id="rId10" Type="http://schemas.openxmlformats.org/officeDocument/2006/relationships/hyperlink" Target="https://www.dol.gov/sites/dolgov/files/EBSA/laws-and-regulations/laws/chipra/model-notice.doc" TargetMode="External"/><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dol.gov/sites/default/files/ebsa/laws-and-regulations/laws/affordable-care-act/for-employers-and-advisers/model-notice-for-employers-who-offer-a-health-plan-to-some-or-all-employees.doc" TargetMode="External"/><Relationship Id="rId14" Type="http://schemas.openxmlformats.org/officeDocument/2006/relationships/header" Target="header3.xml"/><Relationship Id="rId22" Type="http://schemas.openxmlformats.org/officeDocument/2006/relationships/hyperlink" Target="https://www.healthcare.gov/do-i-qualify-for-medicaid" TargetMode="External"/><Relationship Id="rId27" Type="http://schemas.openxmlformats.org/officeDocument/2006/relationships/hyperlink" Target="http://www.dol.gov/ebsa" TargetMode="External"/><Relationship Id="rId30" Type="http://schemas.openxmlformats.org/officeDocument/2006/relationships/header" Target="header5.xml"/><Relationship Id="rId35" Type="http://schemas.openxmlformats.org/officeDocument/2006/relationships/hyperlink" Target="http://www.healthcare.gov" TargetMode="External"/><Relationship Id="rId8" Type="http://schemas.openxmlformats.org/officeDocument/2006/relationships/hyperlink" Target="https://www.dol.gov/sites/default/files/ebsa/laws-and-regulations/laws/affordable-care-act/for-employers-and-advisers/model-notice-for-employers-who-do-not-offer-a-health-plan.doc"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B26A67-1C64-42FC-B304-50824E586565}">
  <ds:schemaRefs>
    <ds:schemaRef ds:uri="http://schemas.openxmlformats.org/officeDocument/2006/bibliography"/>
  </ds:schemaRefs>
</ds:datastoreItem>
</file>

<file path=docMetadata/LabelInfo.xml><?xml version="1.0" encoding="utf-8"?>
<clbl:labelList xmlns:clbl="http://schemas.microsoft.com/office/2020/mipLabelMetadata">
  <clbl:label id="{a342c0a1-57f4-481c-a533-a8f3be7e2e91}" enabled="1" method="Standard" siteId="{bd0c095f-5d66-4273-a209-64796ae91974}"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32</Pages>
  <Words>8849</Words>
  <Characters>50445</Characters>
  <Application>Microsoft Office Word</Application>
  <DocSecurity>0</DocSecurity>
  <Lines>420</Lines>
  <Paragraphs>118</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 TABLE OF CONTENTS</vt:lpstr>
      <vt:lpstr/>
      <vt:lpstr>© 2013-2019, 2021-2023 Zywave, Inc. All rights reserved.</vt:lpstr>
      <vt:lpstr>INTRODUCTION</vt:lpstr>
      <vt:lpstr>PREPARING FOR (AND AVOIDING) A DOL AUDIT</vt:lpstr>
      <vt:lpstr>    AUDIT TRIGGERS</vt:lpstr>
      <vt:lpstr>    MINIMIZING THE RISK</vt:lpstr>
      <vt:lpstr>    COMPLIANCE REVIEW</vt:lpstr>
      <vt:lpstr>NAVIGATING A DOL AUDIT</vt:lpstr>
      <vt:lpstr>//CHECKLIST OF REQUESTED DOCUMENTS</vt:lpstr>
      <vt:lpstr>//AVAILABLE RESOURCES</vt:lpstr>
      <vt:lpstr/>
      <vt:lpstr/>
      <vt:lpstr/>
      <vt:lpstr>        Important Information about Payment</vt:lpstr>
    </vt:vector>
  </TitlesOfParts>
  <Company>Zywave Inc</Company>
  <LinksUpToDate>false</LinksUpToDate>
  <CharactersWithSpaces>59176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Erin.Margerie@zywave.com</dc:creator>
  <cp:lastModifiedBy>Diane Christian</cp:lastModifiedBy>
  <cp:revision>2</cp:revision>
  <cp:lastPrinted>2013-12-05T16:40:00Z</cp:lastPrinted>
  <dcterms:created xsi:type="dcterms:W3CDTF">2024-05-15T21:03:00Z</dcterms:created>
  <dcterms:modified xsi:type="dcterms:W3CDTF">2024-05-15T21:03:00Z</dcterms:modified>
</cp:coreProperties>
</file>